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spacing w:before="180" w:after="180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Table 5</w:t>
      </w:r>
      <w:r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Pairwise comparisons between pre- and post module scores of secondary endpoints within the </w:t>
      </w:r>
      <w:r>
        <w:rPr>
          <w:rFonts w:ascii="Times New Roman" w:hAnsi="Times New Roman"/>
        </w:rPr>
        <w:t>intervention</w:t>
      </w:r>
      <w:r>
        <w:rPr>
          <w:rFonts w:ascii="Times New Roman" w:hAnsi="Times New Roman"/>
        </w:rPr>
        <w:t xml:space="preserve"> arm. </w:t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left w:w="60" w:type="dxa"/>
          <w:bottom w:w="0" w:type="dxa"/>
          <w:right w:w="60" w:type="dxa"/>
        </w:tblCellMar>
        <w:tblLook w:noHBand="0" w:noVBand="0" w:firstColumn="0" w:lastRow="0" w:lastColumn="0" w:firstRow="0"/>
      </w:tblPr>
      <w:tblGrid>
        <w:gridCol w:w="1872"/>
        <w:gridCol w:w="1872"/>
        <w:gridCol w:w="1872"/>
        <w:gridCol w:w="1872"/>
        <w:gridCol w:w="1872"/>
      </w:tblGrid>
      <w:tr>
        <w:trPr>
          <w:tblHeader w:val="true"/>
          <w:cantSplit w:val="true"/>
        </w:trPr>
        <w:tc>
          <w:tcPr>
            <w:tcW w:w="1872" w:type="dxa"/>
            <w:tcBorders>
              <w:top w:val="single" w:sz="16" w:space="0" w:color="D3D3D3"/>
              <w:left w:val="single" w:sz="6" w:space="0" w:color="D3D3D3"/>
              <w:bottom w:val="single" w:sz="1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Characteristic</w:t>
            </w:r>
          </w:p>
        </w:tc>
        <w:tc>
          <w:tcPr>
            <w:tcW w:w="1872" w:type="dxa"/>
            <w:tcBorders>
              <w:top w:val="single" w:sz="16" w:space="0" w:color="D3D3D3"/>
              <w:bottom w:val="single" w:sz="1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Pre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N = 108</w:t>
            </w:r>
          </w:p>
        </w:tc>
        <w:tc>
          <w:tcPr>
            <w:tcW w:w="1872" w:type="dxa"/>
            <w:tcBorders>
              <w:top w:val="single" w:sz="16" w:space="0" w:color="D3D3D3"/>
              <w:bottom w:val="single" w:sz="1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Post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N = 108</w:t>
            </w:r>
          </w:p>
        </w:tc>
        <w:tc>
          <w:tcPr>
            <w:tcW w:w="1872" w:type="dxa"/>
            <w:tcBorders>
              <w:top w:val="single" w:sz="16" w:space="0" w:color="D3D3D3"/>
              <w:bottom w:val="single" w:sz="1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</w:t>
            </w:r>
          </w:p>
        </w:tc>
        <w:tc>
          <w:tcPr>
            <w:tcW w:w="1872" w:type="dxa"/>
            <w:tcBorders>
              <w:top w:val="single" w:sz="16" w:space="0" w:color="D3D3D3"/>
              <w:bottom w:val="single" w:sz="1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</w:t>
            </w:r>
            <w:r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adj</w:t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CVTRQ (total score)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0·0060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0·084</w:t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Mean (SD)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 (7)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 (8)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Median (Q1, Q3)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 (79, 90)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 (80, 92)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Min, Max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63, 97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64, 100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RCQ (total score)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0·38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&gt;0·99</w:t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Mean (SD)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25·7 (4·0)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25·2 (4·0)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Median (Q1, Q3)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26·0 (23·0, 28·5)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25·0 (23·5, 28·0)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Min, Max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15·0, 33·0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12·0, 33·0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F-Soz-U (total score)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0·35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&gt;0·99</w:t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Mean (SD)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3·83 (0·92)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3·85 (1·04)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Median (Q1, Q3)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4·00 (3·14, 4·57)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4·00 (3·29, 4·86)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Min, Max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1·00, 5·00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1·00, 5·00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Missing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OQMPR (total score)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0·084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0·84</w:t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Mean (SD)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 (9)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 (9)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Median (Q1, Q3)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 (23, 35)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 (21, 35)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Min, Max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12, 52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12, 47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Missing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UCLA (total score)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0·066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0·79</w:t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Mean (SD)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28·5 (3·9)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28·0 (4·1)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Median (Q1, Q3)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28·0 (25·0, 31·0)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27·0 (24·0, 31·0)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Min, Max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22·0, 37·0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21·0, 36·0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Missing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BIS-15 (total score)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0·69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&gt;0·99</w:t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Mean (SD)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 (7)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 (8)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Median (Q1, Q3)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 (24, 34)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 (24, 35)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Min, Max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15, 48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15, 48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Missing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CUSI (total score)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0·62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&gt;0·99</w:t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Mean (SD)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 (9)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 (10)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Median (Q1, Q3)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 (25, 32)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 (21, 35)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Min, Max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16, 66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16, 63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Missing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DERS (subscale impulsivity)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0·0050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0·075</w:t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Mean (SD)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6·24 (2·26)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6·72 (2·25)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Median (Q1, Q3)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5·00 (5·00, 6·50)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6·00 (5·00, 8·00)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Min, Max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5·00, 17·00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5·00, 15·00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Missing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NARQ (subscale externalizing strategies)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0·13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&gt;0·99</w:t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Mean (SD)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1·94 (2·74)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2·11 (2·50)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Median (Q1, Q3)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1·00 (0·00, 3·00)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1·00 (0·00, 3·50)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Min, Max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0·00, 14·00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0·00, 11·00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Missing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SPSI-R (total score)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0·93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&gt;0·99</w:t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Mean (SD)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13·4 (3·2)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13·5 (3·3)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Median (Q1, Q3)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13·8 (10·4, 16·0)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13·5 (11·4, 15·6)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Min, Max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6·2, 19·8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7·4, 19·8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Missing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BMS (total score)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0·35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&gt;0·99</w:t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Mean (SD)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 (14)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 (16)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Median (Q1, Q3)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 (40, 57)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 (39, 63)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Min, Max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38, 86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38, 99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Missing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ESIQ (total score)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0·0010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0·016</w:t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Mean (SD)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 (12)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 (12)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Median (Q1, Q3)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 (80, 98)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 (80, 90)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Min, Max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66, 127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66, 127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Missing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SOI-R (subscale desire for sexual activity with children)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0·071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0·79</w:t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Mean (SD)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 (20)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 (21)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Median (Q1, Q3)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(0, 10)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(0, 5)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Min, Max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0, 100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0, 100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Missing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SSIC (total score)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0·049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0·64</w:t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Mean (SD)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26·5 (4·6)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27·1 (4·3)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Median (Q1, Q3)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28·0 (26·0, 30·0)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30·0 (25·0, 30·0)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Min, Max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11·0, 30·0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15·0, 30·0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Missing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EKK-R (total score)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0·92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&gt;0·99</w:t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Mean (SD)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 (8)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 (7)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Median (Q1, Q3)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 (24, 35)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 (24, 32)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Min, Max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20, 54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20, 55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Missing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HBI-19 (total score)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0·87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&gt;0·99</w:t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Mean (SD)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 (12)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 (10)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Median (Q1, Q3)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 (20, 40)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 (19, 32)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Min, Max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19, 57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19, 60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Missing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9360" w:type="dxa"/>
            <w:gridSpan w:val="5"/>
            <w:tcBorders/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Abbreviation: BIS-15 = Barratt Impulsiveness Scale-15, BMS = Bumby Molest Scale, CUSI = Coping Using Sex Inventory, CVTRQ = Corrections Victoria Treatment Readiness Questionnaire, DERS = Difficulties in Emotion Regulation Scale, EKK-R = Questionnaire on Emotional Congruence with Children-Revised, ESIQ = Explicit Sexual Interest Questionnaire, F-Soz-U = Seven-item short version of the Social Support Questionnaire, HBI-19 = Hyper-sexualBehavior Inventory-19, NARQ = Negative Affect Repair Questionnaire, OQMPR = Questionnaire for the Measurement of Psychological Reactance, Q1 = 25th percentile, Q3 = 75th percentile, RCQ = Readiness to Change Questionnaire - German version, SD = Standard deviation, SOI-R = Sexual Outlet Inventory revised, subscale desire for sexual activity with children, SPSI-R = Social Problem-Solving Inventory Revised, SSIC = Specific self-efficacy for modifying Sexual Interest in Children, UCLA = UCLA Loneliness Scale - German short version, p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adj </w:t>
            </w:r>
            <w:r>
              <w:rPr>
                <w:rFonts w:ascii="Times New Roman" w:hAnsi="Times New Roman"/>
                <w:sz w:val="20"/>
                <w:szCs w:val="20"/>
              </w:rPr>
              <w:t>= Holm-Bonferroni adjusted p-value</w:t>
            </w:r>
          </w:p>
        </w:tc>
      </w:tr>
    </w:tbl>
    <w:p>
      <w:pPr>
        <w:pStyle w:val="FirstParagraph"/>
        <w:spacing w:before="180" w:after="180"/>
        <w:rPr/>
      </w:pPr>
      <w:r>
        <w:rPr/>
      </w:r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ptos">
    <w:charset w:val="01"/>
    <w:family w:val="roman"/>
    <w:pitch w:val="variable"/>
  </w:font>
  <w:font w:name="Aptos Display">
    <w:charset w:val="01"/>
    <w:family w:val="roman"/>
    <w:pitch w:val="variable"/>
  </w:font>
  <w:font w:name="Consolas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20"/>
  <w:autoHyphenation w:val="true"/>
  <w:hyphenationZone w:val="0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sz w:val="24"/>
        <w:szCs w:val="24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76"/>
  <w:style w:type="paragraph" w:styleId="Normal" w:default="1">
    <w:name w:val="Normal"/>
    <w:qFormat/>
    <w:pPr>
      <w:widowControl/>
      <w:bidi w:val="0"/>
      <w:spacing w:before="0" w:after="20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0"/>
      <w:sz w:val="24"/>
      <w:szCs w:val="24"/>
      <w:lang w:val="en-US" w:eastAsia="en-US" w:bidi="ar-SA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10fd9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TitleChar" w:customStyle="1">
    <w:name w:val="Title Char"/>
    <w:basedOn w:val="DefaultParagraphFont"/>
    <w:uiPriority w:val="10"/>
    <w:qFormat/>
    <w:rsid w:val="00a10fd9"/>
    <w:rPr>
      <w:rFonts w:ascii="Aptos Display" w:hAnsi="Aptos Display" w:eastAsia="" w:cs="" w:asciiTheme="majorHAnsi" w:cstheme="majorBidi" w:eastAsiaTheme="majorEastAsia" w:hAnsiTheme="majorHAnsi"/>
      <w:sz w:val="56"/>
      <w:szCs w:val="56"/>
    </w:rPr>
  </w:style>
  <w:style w:type="character" w:styleId="SubtitleChar" w:customStyle="1">
    <w:name w:val="Subtitle Char"/>
    <w:basedOn w:val="DefaultParagraphFont"/>
    <w:uiPriority w:val="11"/>
    <w:qFormat/>
    <w:rsid w:val="00a10fd9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Heading1Char" w:customStyle="1">
    <w:name w:val="Heading 1 Char"/>
    <w:basedOn w:val="DefaultParagraphFont"/>
    <w:uiPriority w:val="9"/>
    <w:qFormat/>
    <w:rsid w:val="00a10fd9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Heading2Char" w:customStyle="1">
    <w:name w:val="Heading 2 Char"/>
    <w:basedOn w:val="DefaultParagraphFont"/>
    <w:uiPriority w:val="9"/>
    <w:semiHidden/>
    <w:qFormat/>
    <w:rsid w:val="00a10fd9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Heading3Char" w:customStyle="1">
    <w:name w:val="Heading 3 Char"/>
    <w:basedOn w:val="DefaultParagraphFont"/>
    <w:uiPriority w:val="9"/>
    <w:semiHidden/>
    <w:qFormat/>
    <w:rsid w:val="00a10fd9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Heading4Char" w:customStyle="1">
    <w:name w:val="Heading 4 Char"/>
    <w:basedOn w:val="DefaultParagraphFont"/>
    <w:uiPriority w:val="9"/>
    <w:semiHidden/>
    <w:qFormat/>
    <w:rsid w:val="00a10fd9"/>
    <w:rPr>
      <w:rFonts w:eastAsia="" w:cs="" w:cstheme="majorBidi" w:eastAsiaTheme="majorEastAsia"/>
      <w:i/>
      <w:iCs/>
      <w:color w:themeColor="accent1" w:themeShade="bf" w:val="0F4761"/>
    </w:rPr>
  </w:style>
  <w:style w:type="character" w:styleId="Heading5Char" w:customStyle="1">
    <w:name w:val="Heading 5 Char"/>
    <w:basedOn w:val="DefaultParagraphFont"/>
    <w:uiPriority w:val="9"/>
    <w:semiHidden/>
    <w:qFormat/>
    <w:rsid w:val="00a10fd9"/>
    <w:rPr>
      <w:rFonts w:eastAsia="" w:cs="" w:cstheme="majorBidi" w:eastAsiaTheme="majorEastAsia"/>
      <w:color w:themeColor="accent1" w:themeShade="bf" w:val="0F4761"/>
    </w:rPr>
  </w:style>
  <w:style w:type="character" w:styleId="Heading6Char" w:customStyle="1">
    <w:name w:val="Heading 6 Char"/>
    <w:basedOn w:val="DefaultParagraphFont"/>
    <w:uiPriority w:val="9"/>
    <w:semiHidden/>
    <w:qFormat/>
    <w:rsid w:val="00a10fd9"/>
    <w:rPr>
      <w:rFonts w:eastAsia="" w:cs="" w:cstheme="majorBidi" w:eastAsiaTheme="majorEastAsia"/>
      <w:i/>
      <w:iCs/>
      <w:color w:themeColor="text1" w:themeTint="a6" w:val="595959"/>
    </w:rPr>
  </w:style>
  <w:style w:type="character" w:styleId="Heading7Char" w:customStyle="1">
    <w:name w:val="Heading 7 Char"/>
    <w:basedOn w:val="DefaultParagraphFont"/>
    <w:uiPriority w:val="9"/>
    <w:semiHidden/>
    <w:qFormat/>
    <w:rsid w:val="00a10fd9"/>
    <w:rPr>
      <w:rFonts w:eastAsia="" w:cs="" w:cstheme="majorBidi" w:eastAsiaTheme="majorEastAsia"/>
      <w:color w:themeColor="text1" w:themeTint="a6" w:val="595959"/>
    </w:rPr>
  </w:style>
  <w:style w:type="character" w:styleId="Heading8Char" w:customStyle="1">
    <w:name w:val="Heading 8 Char"/>
    <w:basedOn w:val="DefaultParagraphFont"/>
    <w:uiPriority w:val="9"/>
    <w:semiHidden/>
    <w:qFormat/>
    <w:rsid w:val="00a10fd9"/>
    <w:rPr>
      <w:rFonts w:eastAsia="" w:cs="" w:cstheme="majorBidi" w:eastAsiaTheme="majorEastAsia"/>
      <w:i/>
      <w:iCs/>
      <w:color w:themeColor="text1" w:themeTint="d8" w:val="272727"/>
    </w:rPr>
  </w:style>
  <w:style w:type="character" w:styleId="Heading9Char" w:customStyle="1">
    <w:name w:val="Heading 9 Char"/>
    <w:basedOn w:val="DefaultParagraphFont"/>
    <w:uiPriority w:val="9"/>
    <w:semiHidden/>
    <w:qFormat/>
    <w:rsid w:val="00a10fd9"/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semiHidden/>
    <w:unhideWhenUsed/>
    <w:qFormat/>
    <w:rPr/>
  </w:style>
  <w:style w:type="character" w:styleId="BodyTextChar" w:customStyle="1">
    <w:name w:val="Body Text Char"/>
    <w:basedOn w:val="DefaultParagraphFont"/>
    <w:qFormat/>
    <w:rPr/>
  </w:style>
  <w:style w:type="character" w:styleId="VerbatimChar" w:customStyle="1">
    <w:name w:val="Verbatim Char"/>
    <w:basedOn w:val="BodyTextChar"/>
    <w:qFormat/>
    <w:rPr>
      <w:rFonts w:ascii="Consolas" w:hAnsi="Consolas"/>
      <w:sz w:val="22"/>
    </w:rPr>
  </w:style>
  <w:style w:type="character" w:styleId="SectionNumber" w:customStyle="1">
    <w:name w:val="Section Number"/>
    <w:basedOn w:val="BodyTextChar"/>
    <w:qFormat/>
    <w:rPr/>
  </w:style>
  <w:style w:type="character" w:styleId="Funotenzeichen">
    <w:name w:val="Fußnotenzeichen"/>
    <w:basedOn w:val="BodyTextChar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Hyperlink">
    <w:name w:val="Hyperlink"/>
    <w:basedOn w:val="BodyTextChar"/>
    <w:rPr>
      <w:color w:themeColor="accent1" w:val="4F81BD"/>
    </w:rPr>
  </w:style>
  <w:style w:type="character" w:styleId="KeywordTok" w:customStyle="1">
    <w:name w:val="KeywordTok"/>
    <w:basedOn w:val="VerbatimChar"/>
    <w:qFormat/>
    <w:rPr>
      <w:b/>
      <w:color w:val="007020"/>
    </w:rPr>
  </w:style>
  <w:style w:type="character" w:styleId="DataTypeTok" w:customStyle="1">
    <w:name w:val="DataTypeTok"/>
    <w:basedOn w:val="VerbatimChar"/>
    <w:qFormat/>
    <w:rPr>
      <w:color w:val="902000"/>
    </w:rPr>
  </w:style>
  <w:style w:type="character" w:styleId="DecValTok" w:customStyle="1">
    <w:name w:val="DecValTok"/>
    <w:basedOn w:val="VerbatimChar"/>
    <w:qFormat/>
    <w:rPr>
      <w:color w:val="40A070"/>
    </w:rPr>
  </w:style>
  <w:style w:type="character" w:styleId="BaseNTok" w:customStyle="1">
    <w:name w:val="BaseNTok"/>
    <w:basedOn w:val="VerbatimChar"/>
    <w:qFormat/>
    <w:rPr>
      <w:color w:val="40A070"/>
    </w:rPr>
  </w:style>
  <w:style w:type="character" w:styleId="FloatTok" w:customStyle="1">
    <w:name w:val="FloatTok"/>
    <w:basedOn w:val="VerbatimChar"/>
    <w:qFormat/>
    <w:rPr>
      <w:color w:val="40A070"/>
    </w:rPr>
  </w:style>
  <w:style w:type="character" w:styleId="ConstantTok" w:customStyle="1">
    <w:name w:val="ConstantTok"/>
    <w:basedOn w:val="VerbatimChar"/>
    <w:qFormat/>
    <w:rPr>
      <w:color w:val="880000"/>
    </w:rPr>
  </w:style>
  <w:style w:type="character" w:styleId="CharTok" w:customStyle="1">
    <w:name w:val="CharTok"/>
    <w:basedOn w:val="VerbatimChar"/>
    <w:qFormat/>
    <w:rPr>
      <w:color w:val="4070A0"/>
    </w:rPr>
  </w:style>
  <w:style w:type="character" w:styleId="SpecialCharTok" w:customStyle="1">
    <w:name w:val="SpecialCharTok"/>
    <w:basedOn w:val="VerbatimChar"/>
    <w:qFormat/>
    <w:rPr>
      <w:color w:val="4070A0"/>
    </w:rPr>
  </w:style>
  <w:style w:type="character" w:styleId="StringTok" w:customStyle="1">
    <w:name w:val="StringTok"/>
    <w:basedOn w:val="VerbatimChar"/>
    <w:qFormat/>
    <w:rPr>
      <w:color w:val="4070A0"/>
    </w:rPr>
  </w:style>
  <w:style w:type="character" w:styleId="VerbatimStringTok" w:customStyle="1">
    <w:name w:val="VerbatimStringTok"/>
    <w:basedOn w:val="VerbatimChar"/>
    <w:qFormat/>
    <w:rPr>
      <w:color w:val="4070A0"/>
    </w:rPr>
  </w:style>
  <w:style w:type="character" w:styleId="SpecialStringTok" w:customStyle="1">
    <w:name w:val="SpecialStringTok"/>
    <w:basedOn w:val="VerbatimChar"/>
    <w:qFormat/>
    <w:rPr>
      <w:color w:val="BB6688"/>
    </w:rPr>
  </w:style>
  <w:style w:type="character" w:styleId="ImportTok" w:customStyle="1">
    <w:name w:val="ImportTok"/>
    <w:basedOn w:val="VerbatimChar"/>
    <w:qFormat/>
    <w:rPr>
      <w:b/>
      <w:color w:val="008000"/>
    </w:rPr>
  </w:style>
  <w:style w:type="character" w:styleId="CommentTok" w:customStyle="1">
    <w:name w:val="CommentTok"/>
    <w:basedOn w:val="VerbatimChar"/>
    <w:qFormat/>
    <w:rPr>
      <w:i/>
      <w:color w:val="60A0B0"/>
    </w:rPr>
  </w:style>
  <w:style w:type="character" w:styleId="DocumentationTok" w:customStyle="1">
    <w:name w:val="DocumentationTok"/>
    <w:basedOn w:val="VerbatimChar"/>
    <w:qFormat/>
    <w:rPr>
      <w:i/>
      <w:color w:val="BA2121"/>
    </w:rPr>
  </w:style>
  <w:style w:type="character" w:styleId="AnnotationTok" w:customStyle="1">
    <w:name w:val="AnnotationTok"/>
    <w:basedOn w:val="VerbatimChar"/>
    <w:qFormat/>
    <w:rPr>
      <w:b/>
      <w:i/>
      <w:color w:val="60A0B0"/>
    </w:rPr>
  </w:style>
  <w:style w:type="character" w:styleId="CommentVarTok" w:customStyle="1">
    <w:name w:val="CommentVarTok"/>
    <w:basedOn w:val="VerbatimChar"/>
    <w:qFormat/>
    <w:rPr>
      <w:b/>
      <w:i/>
      <w:color w:val="60A0B0"/>
    </w:rPr>
  </w:style>
  <w:style w:type="character" w:styleId="OtherTok" w:customStyle="1">
    <w:name w:val="OtherTok"/>
    <w:basedOn w:val="VerbatimChar"/>
    <w:qFormat/>
    <w:rPr>
      <w:color w:val="007020"/>
    </w:rPr>
  </w:style>
  <w:style w:type="character" w:styleId="FunctionTok" w:customStyle="1">
    <w:name w:val="FunctionTok"/>
    <w:basedOn w:val="VerbatimChar"/>
    <w:qFormat/>
    <w:rPr>
      <w:color w:val="06287E"/>
    </w:rPr>
  </w:style>
  <w:style w:type="character" w:styleId="VariableTok" w:customStyle="1">
    <w:name w:val="VariableTok"/>
    <w:basedOn w:val="VerbatimChar"/>
    <w:qFormat/>
    <w:rPr>
      <w:color w:val="19177C"/>
    </w:rPr>
  </w:style>
  <w:style w:type="character" w:styleId="ControlFlowTok" w:customStyle="1">
    <w:name w:val="ControlFlowTok"/>
    <w:basedOn w:val="VerbatimChar"/>
    <w:qFormat/>
    <w:rPr>
      <w:b/>
      <w:color w:val="007020"/>
    </w:rPr>
  </w:style>
  <w:style w:type="character" w:styleId="OperatorTok" w:customStyle="1">
    <w:name w:val="OperatorTok"/>
    <w:basedOn w:val="VerbatimChar"/>
    <w:qFormat/>
    <w:rPr>
      <w:color w:val="666666"/>
    </w:rPr>
  </w:style>
  <w:style w:type="character" w:styleId="BuiltInTok" w:customStyle="1">
    <w:name w:val="BuiltInTok"/>
    <w:basedOn w:val="VerbatimChar"/>
    <w:qFormat/>
    <w:rPr>
      <w:color w:val="008000"/>
    </w:rPr>
  </w:style>
  <w:style w:type="character" w:styleId="ExtensionTok" w:customStyle="1">
    <w:name w:val="ExtensionTok"/>
    <w:basedOn w:val="VerbatimChar"/>
    <w:qFormat/>
    <w:rPr/>
  </w:style>
  <w:style w:type="character" w:styleId="PreprocessorTok" w:customStyle="1">
    <w:name w:val="PreprocessorTok"/>
    <w:basedOn w:val="VerbatimChar"/>
    <w:qFormat/>
    <w:rPr>
      <w:color w:val="BC7A00"/>
    </w:rPr>
  </w:style>
  <w:style w:type="character" w:styleId="AttributeTok" w:customStyle="1">
    <w:name w:val="AttributeTok"/>
    <w:basedOn w:val="VerbatimChar"/>
    <w:qFormat/>
    <w:rPr>
      <w:color w:val="7D9029"/>
    </w:rPr>
  </w:style>
  <w:style w:type="character" w:styleId="RegionMarkerTok" w:customStyle="1">
    <w:name w:val="RegionMarkerTok"/>
    <w:basedOn w:val="VerbatimChar"/>
    <w:qFormat/>
    <w:rPr/>
  </w:style>
  <w:style w:type="character" w:styleId="InformationTok" w:customStyle="1">
    <w:name w:val="InformationTok"/>
    <w:basedOn w:val="VerbatimChar"/>
    <w:qFormat/>
    <w:rPr>
      <w:b/>
      <w:i/>
      <w:color w:val="60A0B0"/>
    </w:rPr>
  </w:style>
  <w:style w:type="character" w:styleId="WarningTok" w:customStyle="1">
    <w:name w:val="WarningTok"/>
    <w:basedOn w:val="VerbatimChar"/>
    <w:qFormat/>
    <w:rPr>
      <w:b/>
      <w:i/>
      <w:color w:val="60A0B0"/>
    </w:rPr>
  </w:style>
  <w:style w:type="character" w:styleId="AlertTok" w:customStyle="1">
    <w:name w:val="AlertTok"/>
    <w:basedOn w:val="VerbatimChar"/>
    <w:qFormat/>
    <w:rPr>
      <w:b/>
      <w:color w:val="FF0000"/>
    </w:rPr>
  </w:style>
  <w:style w:type="character" w:styleId="ErrorTok" w:customStyle="1">
    <w:name w:val="ErrorTok"/>
    <w:basedOn w:val="VerbatimChar"/>
    <w:qFormat/>
    <w:rPr>
      <w:b/>
      <w:color w:val="FF0000"/>
    </w:rPr>
  </w:style>
  <w:style w:type="character" w:styleId="NormalTok" w:customStyle="1">
    <w:name w:val="NormalTok"/>
    <w:basedOn w:val="VerbatimChar"/>
    <w:qFormat/>
    <w:rPr/>
  </w:style>
  <w:style w:type="paragraph" w:styleId="berschrift">
    <w:name w:val="Überschrift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link w:val="BodyTextChar"/>
    <w:qFormat/>
    <w:pPr>
      <w:spacing w:before="180" w:after="18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link w:val="BodyTextChar"/>
    <w:qFormat/>
    <w:pPr>
      <w:spacing w:before="0" w:after="120"/>
    </w:pPr>
    <w:rPr>
      <w:i/>
    </w:rPr>
  </w:style>
  <w:style w:type="paragraph" w:styleId="Verzeichnis">
    <w:name w:val="Verzeichnis"/>
    <w:basedOn w:val="Normal"/>
    <w:qFormat/>
    <w:pPr>
      <w:suppressLineNumbers/>
    </w:pPr>
    <w:rPr>
      <w:rFonts w:cs="Noto Sans Devanagari"/>
    </w:rPr>
  </w:style>
  <w:style w:type="paragraph" w:styleId="FirstParagraph" w:customStyle="1">
    <w:name w:val="First Paragraph"/>
    <w:basedOn w:val="BodyText"/>
    <w:next w:val="BodyText"/>
    <w:qFormat/>
    <w:pPr/>
    <w:rPr/>
  </w:style>
  <w:style w:type="paragraph" w:styleId="Compact" w:customStyle="1">
    <w:name w:val="Compact"/>
    <w:basedOn w:val="BodyText"/>
    <w:qFormat/>
    <w:pPr>
      <w:spacing w:before="36" w:after="36"/>
    </w:pPr>
    <w:rPr/>
  </w:style>
  <w:style w:type="paragraph" w:styleId="Title">
    <w:name w:val="Title"/>
    <w:basedOn w:val="Normal"/>
    <w:next w:val="BodyText"/>
    <w:link w:val="TitleChar"/>
    <w:uiPriority w:val="10"/>
    <w:qFormat/>
    <w:rsid w:val="00a10fd9"/>
    <w:pPr>
      <w:spacing w:lineRule="auto" w:line="240" w:before="0" w:after="80"/>
      <w:contextualSpacing/>
      <w:jc w:val="center"/>
    </w:pPr>
    <w:rPr>
      <w:rFonts w:ascii="Aptos Display" w:hAnsi="Aptos Display" w:eastAsia="" w:cs="" w:asciiTheme="majorHAnsi" w:cstheme="majorBidi" w:eastAsiaTheme="majorEastAsia" w:hAnsiTheme="majorHAnsi"/>
      <w:sz w:val="56"/>
      <w:szCs w:val="56"/>
    </w:rPr>
  </w:style>
  <w:style w:type="paragraph" w:styleId="Subtitle">
    <w:name w:val="Subtitle"/>
    <w:basedOn w:val="Title"/>
    <w:next w:val="BodyText"/>
    <w:link w:val="SubtitleChar"/>
    <w:uiPriority w:val="11"/>
    <w:qFormat/>
    <w:rsid w:val="00a10fd9"/>
    <w:pPr/>
    <w:rPr>
      <w:rFonts w:eastAsia="" w:cs="" w:cstheme="majorBidi" w:eastAsiaTheme="majorEastAsia"/>
      <w:spacing w:val="15"/>
      <w:sz w:val="28"/>
      <w:szCs w:val="28"/>
    </w:rPr>
  </w:style>
  <w:style w:type="paragraph" w:styleId="Author" w:customStyle="1">
    <w:name w:val="Author"/>
    <w:basedOn w:val="Title"/>
    <w:next w:val="BodyText"/>
    <w:qFormat/>
    <w:pPr>
      <w:keepNext w:val="true"/>
      <w:keepLines/>
    </w:pPr>
    <w:rPr>
      <w:sz w:val="24"/>
      <w:szCs w:val="24"/>
    </w:rPr>
  </w:style>
  <w:style w:type="paragraph" w:styleId="Date">
    <w:name w:val="Date"/>
    <w:basedOn w:val="Title"/>
    <w:next w:val="BodyText"/>
    <w:qFormat/>
    <w:pPr>
      <w:keepNext w:val="true"/>
      <w:keepLines/>
    </w:pPr>
    <w:rPr>
      <w:sz w:val="24"/>
      <w:szCs w:val="24"/>
    </w:rPr>
  </w:style>
  <w:style w:type="paragraph" w:styleId="AbstractTitle" w:customStyle="1">
    <w:name w:val="Abstract Title"/>
    <w:basedOn w:val="Normal"/>
    <w:next w:val="Abstract"/>
    <w:qFormat/>
    <w:pPr>
      <w:keepNext w:val="true"/>
      <w:keepLines/>
      <w:spacing w:before="300" w:after="0"/>
      <w:jc w:val="center"/>
    </w:pPr>
    <w:rPr>
      <w:b/>
      <w:sz w:val="20"/>
      <w:szCs w:val="20"/>
    </w:rPr>
  </w:style>
  <w:style w:type="paragraph" w:styleId="Abstract" w:customStyle="1">
    <w:name w:val="Abstract"/>
    <w:basedOn w:val="Normal"/>
    <w:next w:val="BodyText"/>
    <w:qFormat/>
    <w:pPr>
      <w:keepNext w:val="true"/>
      <w:keepLines/>
      <w:spacing w:before="100" w:after="300"/>
    </w:pPr>
    <w:rPr>
      <w:sz w:val="20"/>
      <w:szCs w:val="20"/>
    </w:rPr>
  </w:style>
  <w:style w:type="paragraph" w:styleId="Bibliography">
    <w:name w:val="Bibliography"/>
    <w:basedOn w:val="Normal"/>
    <w:qFormat/>
    <w:pPr/>
    <w:rPr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hanging="0" w:left="480" w:right="480"/>
    </w:pPr>
    <w:rPr/>
  </w:style>
  <w:style w:type="paragraph" w:styleId="FootnoteText">
    <w:name w:val="footnote text"/>
    <w:basedOn w:val="Normal"/>
    <w:uiPriority w:val="9"/>
    <w:unhideWhenUsed/>
    <w:qFormat/>
    <w:pPr/>
    <w:rPr/>
  </w:style>
  <w:style w:type="paragraph" w:styleId="FootnoteBlockText">
    <w:name w:val="Footnote Block Text"/>
    <w:basedOn w:val="FootnoteText"/>
    <w:next w:val="FootnoteText"/>
    <w:uiPriority w:val="9"/>
    <w:unhideWhenUsed/>
    <w:qFormat/>
    <w:pPr>
      <w:spacing w:before="100" w:after="100"/>
      <w:ind w:hanging="0" w:left="480" w:right="480"/>
    </w:pPr>
    <w:rPr/>
  </w:style>
  <w:style w:type="paragraph" w:styleId="DefinitionTerm" w:customStyle="1">
    <w:name w:val="Definition Term"/>
    <w:basedOn w:val="Normal"/>
    <w:next w:val="Definition"/>
    <w:qFormat/>
    <w:pPr>
      <w:keepNext w:val="true"/>
      <w:keepLines/>
      <w:spacing w:before="0" w:after="0"/>
    </w:pPr>
    <w:rPr>
      <w:b/>
    </w:rPr>
  </w:style>
  <w:style w:type="paragraph" w:styleId="Definition" w:customStyle="1">
    <w:name w:val="Definition"/>
    <w:basedOn w:val="Normal"/>
    <w:qFormat/>
    <w:pPr/>
    <w:rPr/>
  </w:style>
  <w:style w:type="paragraph" w:styleId="TableCaption" w:customStyle="1">
    <w:name w:val="Table Caption"/>
    <w:basedOn w:val="Caption"/>
    <w:qFormat/>
    <w:pPr>
      <w:keepNext w:val="true"/>
    </w:pPr>
    <w:rPr/>
  </w:style>
  <w:style w:type="paragraph" w:styleId="ImageCaption" w:customStyle="1">
    <w:name w:val="Image Caption"/>
    <w:basedOn w:val="Caption"/>
    <w:qFormat/>
    <w:pPr/>
    <w:rPr/>
  </w:style>
  <w:style w:type="paragraph" w:styleId="Schaubild" w:customStyle="1">
    <w:name w:val="Schaubild"/>
    <w:basedOn w:val="Normal"/>
    <w:qFormat/>
    <w:pPr/>
    <w:rPr/>
  </w:style>
  <w:style w:type="paragraph" w:styleId="CaptionedFigure" w:customStyle="1">
    <w:name w:val="Captioned Figure"/>
    <w:basedOn w:val="Schaubild"/>
    <w:qFormat/>
    <w:pPr>
      <w:keepNext w:val="true"/>
    </w:pPr>
    <w:rPr/>
  </w:style>
  <w:style w:type="paragraph" w:styleId="IndexHeading">
    <w:name w:val="index heading"/>
    <w:basedOn w:val="berschrift"/>
    <w:pPr/>
    <w:rPr/>
  </w:style>
  <w:style w:type="paragraph" w:styleId="TOCHeading">
    <w:name w:val="TOC Heading"/>
    <w:basedOn w:val="Heading1"/>
    <w:next w:val="BodyText"/>
    <w:uiPriority w:val="39"/>
    <w:unhideWhenUsed/>
    <w:qFormat/>
    <w:pPr>
      <w:spacing w:lineRule="auto" w:line="259" w:before="240" w:after="80"/>
      <w:outlineLvl w:val="9"/>
    </w:pPr>
    <w:rPr>
      <w:rFonts w:ascii="Aptos Display" w:hAnsi="Aptos Display" w:eastAsia="" w:cs="" w:asciiTheme="majorHAnsi" w:cstheme="majorBidi" w:eastAsiaTheme="majorEastAsia" w:hAnsiTheme="majorHAnsi"/>
      <w:b w:val="false"/>
      <w:bCs w:val="false"/>
      <w:color w:themeColor="accent1" w:themeShade="bf" w:val="365F91"/>
    </w:rPr>
  </w:style>
  <w:style w:type="paragraph" w:styleId="SourceCode" w:customStyle="1">
    <w:name w:val="Source Code"/>
    <w:basedOn w:val="Normal"/>
    <w:link w:val="VerbatimChar"/>
    <w:qFormat/>
    <w:pPr/>
    <w:rPr/>
  </w:style>
  <w:style w:type="paragraph" w:styleId="Tabelleninhalt">
    <w:name w:val="Tabelleninhalt"/>
    <w:basedOn w:val="Normal"/>
    <w:qFormat/>
    <w:pPr>
      <w:widowControl w:val="false"/>
      <w:suppressLineNumbers/>
    </w:pPr>
    <w:rPr/>
  </w:style>
  <w:style w:type="paragraph" w:styleId="Tabellenberschrift">
    <w:name w:val="Tabellenüberschrift"/>
    <w:basedOn w:val="Tabelleninhalt"/>
    <w:qFormat/>
    <w:pPr>
      <w:suppressLineNumbers/>
      <w:jc w:val="center"/>
    </w:pPr>
    <w:rPr>
      <w:b/>
      <w:bCs/>
    </w:rPr>
  </w:style>
  <w:style w:type="table" w:default="1" w:styleId="Table">
    <w:name w:val="Table"/>
    <w:basedOn w:val="TableNormal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/>
        </w:tcBorders>
        <w:vAlign w:val="bottom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Application>LibreOffice/25.8.4.2$Linux_X86_64 LibreOffice_project/580$Build-2</Application>
  <AppVersion>15.0000</AppVersion>
  <Pages>4</Pages>
  <Words>630</Words>
  <Characters>2911</Characters>
  <CharactersWithSpaces>3549</CharactersWithSpaces>
  <Paragraphs>241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2026-01-30T08:44:37Z</dcterms:created>
  <dc:creator/>
  <dc:description/>
  <dc:language>de-DE</dc:language>
  <cp:lastModifiedBy/>
  <dcterms:modified xsi:type="dcterms:W3CDTF">2026-01-30T10:29:30Z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