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BodyText"/>
        <w:spacing w:before="180" w:after="180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>Table 4</w:t>
      </w:r>
      <w:r>
        <w:rPr>
          <w:rFonts w:ascii="Times New Roman" w:hAnsi="Times New Roman"/>
        </w:rPr>
        <w:t xml:space="preserve">: </w:t>
      </w:r>
      <w:r>
        <w:rPr>
          <w:rFonts w:ascii="Times New Roman" w:hAnsi="Times New Roman"/>
        </w:rPr>
        <w:t xml:space="preserve">Mixed model for repeated measures (MMRM) for the primary endpoint Child Sexual Abuse Risk Evaluation Self-Report (CARES total score). </w:t>
      </w:r>
    </w:p>
    <w:tbl>
      <w:tblPr>
        <w:tblW w:w="5000" w:type="pct"/>
        <w:jc w:val="center"/>
        <w:tblInd w:w="0" w:type="dxa"/>
        <w:tblLayout w:type="fixed"/>
        <w:tblCellMar>
          <w:top w:w="0" w:type="dxa"/>
          <w:left w:w="60" w:type="dxa"/>
          <w:bottom w:w="0" w:type="dxa"/>
          <w:right w:w="60" w:type="dxa"/>
        </w:tblCellMar>
        <w:tblLook w:noHBand="0" w:noVBand="0" w:firstColumn="0" w:lastRow="0" w:lastColumn="0" w:firstRow="0"/>
      </w:tblPr>
      <w:tblGrid>
        <w:gridCol w:w="2339"/>
        <w:gridCol w:w="2340"/>
        <w:gridCol w:w="2340"/>
        <w:gridCol w:w="2341"/>
      </w:tblGrid>
      <w:tr>
        <w:trPr>
          <w:tblHeader w:val="true"/>
          <w:cantSplit w:val="true"/>
        </w:trPr>
        <w:tc>
          <w:tcPr>
            <w:tcW w:w="2339" w:type="dxa"/>
            <w:tcBorders>
              <w:top w:val="single" w:sz="16" w:space="0" w:color="D3D3D3"/>
              <w:left w:val="single" w:sz="6" w:space="0" w:color="D3D3D3"/>
              <w:bottom w:val="single" w:sz="1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Variable</w:t>
            </w:r>
          </w:p>
        </w:tc>
        <w:tc>
          <w:tcPr>
            <w:tcW w:w="2340" w:type="dxa"/>
            <w:tcBorders>
              <w:top w:val="single" w:sz="16" w:space="0" w:color="D3D3D3"/>
              <w:bottom w:val="single" w:sz="1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Beta</w:t>
            </w:r>
          </w:p>
        </w:tc>
        <w:tc>
          <w:tcPr>
            <w:tcW w:w="2340" w:type="dxa"/>
            <w:tcBorders>
              <w:top w:val="single" w:sz="16" w:space="0" w:color="D3D3D3"/>
              <w:bottom w:val="single" w:sz="1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95% CI</w:t>
            </w:r>
          </w:p>
        </w:tc>
        <w:tc>
          <w:tcPr>
            <w:tcW w:w="2341" w:type="dxa"/>
            <w:tcBorders>
              <w:top w:val="single" w:sz="16" w:space="0" w:color="D3D3D3"/>
              <w:bottom w:val="single" w:sz="1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p-value</w:t>
            </w:r>
          </w:p>
        </w:tc>
      </w:tr>
      <w:tr>
        <w:trPr>
          <w:cantSplit w:val="true"/>
        </w:trPr>
        <w:tc>
          <w:tcPr>
            <w:tcW w:w="2339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(Intercept)</w:t>
            </w:r>
          </w:p>
        </w:tc>
        <w:tc>
          <w:tcPr>
            <w:tcW w:w="234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-0·34</w:t>
            </w:r>
          </w:p>
        </w:tc>
        <w:tc>
          <w:tcPr>
            <w:tcW w:w="234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-1·9 to 1·2</w:t>
            </w:r>
          </w:p>
        </w:tc>
        <w:tc>
          <w:tcPr>
            <w:tcW w:w="2341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0·67</w:t>
            </w:r>
          </w:p>
        </w:tc>
      </w:tr>
      <w:tr>
        <w:trPr>
          <w:cantSplit w:val="true"/>
        </w:trPr>
        <w:tc>
          <w:tcPr>
            <w:tcW w:w="2339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Type of supervision</w:t>
            </w:r>
          </w:p>
        </w:tc>
        <w:tc>
          <w:tcPr>
            <w:tcW w:w="234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34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341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cantSplit w:val="true"/>
        </w:trPr>
        <w:tc>
          <w:tcPr>
            <w:tcW w:w="2339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    </w:t>
            </w:r>
            <w:r>
              <w:rPr>
                <w:rFonts w:ascii="Times New Roman" w:hAnsi="Times New Roman"/>
                <w:sz w:val="20"/>
                <w:szCs w:val="20"/>
              </w:rPr>
              <w:t>community supervision</w:t>
            </w:r>
          </w:p>
        </w:tc>
        <w:tc>
          <w:tcPr>
            <w:tcW w:w="234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0·00</w:t>
            </w:r>
          </w:p>
        </w:tc>
        <w:tc>
          <w:tcPr>
            <w:tcW w:w="234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Ref.</w:t>
            </w:r>
          </w:p>
        </w:tc>
        <w:tc>
          <w:tcPr>
            <w:tcW w:w="2341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cantSplit w:val="true"/>
        </w:trPr>
        <w:tc>
          <w:tcPr>
            <w:tcW w:w="2339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    </w:t>
            </w:r>
            <w:r>
              <w:rPr>
                <w:rFonts w:ascii="Times New Roman" w:hAnsi="Times New Roman"/>
                <w:sz w:val="20"/>
                <w:szCs w:val="20"/>
              </w:rPr>
              <w:t>post-release supervision</w:t>
            </w:r>
          </w:p>
        </w:tc>
        <w:tc>
          <w:tcPr>
            <w:tcW w:w="234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0·32</w:t>
            </w:r>
          </w:p>
        </w:tc>
        <w:tc>
          <w:tcPr>
            <w:tcW w:w="234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-1·2 to 1·8</w:t>
            </w:r>
          </w:p>
        </w:tc>
        <w:tc>
          <w:tcPr>
            <w:tcW w:w="2341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0·68</w:t>
            </w:r>
          </w:p>
        </w:tc>
      </w:tr>
      <w:tr>
        <w:trPr>
          <w:cantSplit w:val="true"/>
        </w:trPr>
        <w:tc>
          <w:tcPr>
            <w:tcW w:w="2339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Additional treatment</w:t>
            </w:r>
          </w:p>
        </w:tc>
        <w:tc>
          <w:tcPr>
            <w:tcW w:w="234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34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341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cantSplit w:val="true"/>
        </w:trPr>
        <w:tc>
          <w:tcPr>
            <w:tcW w:w="2339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    </w:t>
            </w:r>
            <w:r>
              <w:rPr>
                <w:rFonts w:ascii="Times New Roman" w:hAnsi="Times New Roman"/>
                <w:sz w:val="20"/>
                <w:szCs w:val="20"/>
              </w:rPr>
              <w:t>No</w:t>
            </w:r>
          </w:p>
        </w:tc>
        <w:tc>
          <w:tcPr>
            <w:tcW w:w="234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0·00</w:t>
            </w:r>
          </w:p>
        </w:tc>
        <w:tc>
          <w:tcPr>
            <w:tcW w:w="234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Ref.</w:t>
            </w:r>
          </w:p>
        </w:tc>
        <w:tc>
          <w:tcPr>
            <w:tcW w:w="2341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cantSplit w:val="true"/>
        </w:trPr>
        <w:tc>
          <w:tcPr>
            <w:tcW w:w="2339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    </w:t>
            </w:r>
            <w:r>
              <w:rPr>
                <w:rFonts w:ascii="Times New Roman" w:hAnsi="Times New Roman"/>
                <w:sz w:val="20"/>
                <w:szCs w:val="20"/>
              </w:rPr>
              <w:t>Yes</w:t>
            </w:r>
          </w:p>
        </w:tc>
        <w:tc>
          <w:tcPr>
            <w:tcW w:w="234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-0·92</w:t>
            </w:r>
          </w:p>
        </w:tc>
        <w:tc>
          <w:tcPr>
            <w:tcW w:w="234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-2·1 to 0·27</w:t>
            </w:r>
          </w:p>
        </w:tc>
        <w:tc>
          <w:tcPr>
            <w:tcW w:w="2341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0·13</w:t>
            </w:r>
          </w:p>
        </w:tc>
      </w:tr>
      <w:tr>
        <w:trPr>
          <w:cantSplit w:val="true"/>
        </w:trPr>
        <w:tc>
          <w:tcPr>
            <w:tcW w:w="2339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Offense type</w:t>
            </w:r>
          </w:p>
        </w:tc>
        <w:tc>
          <w:tcPr>
            <w:tcW w:w="234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34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341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cantSplit w:val="true"/>
        </w:trPr>
        <w:tc>
          <w:tcPr>
            <w:tcW w:w="2339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    </w:t>
            </w:r>
            <w:r>
              <w:rPr>
                <w:rFonts w:ascii="Times New Roman" w:hAnsi="Times New Roman"/>
                <w:sz w:val="20"/>
                <w:szCs w:val="20"/>
              </w:rPr>
              <w:t>Hands-off (only §184b StGB)</w:t>
            </w:r>
          </w:p>
        </w:tc>
        <w:tc>
          <w:tcPr>
            <w:tcW w:w="234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0·00</w:t>
            </w:r>
          </w:p>
        </w:tc>
        <w:tc>
          <w:tcPr>
            <w:tcW w:w="234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Ref.</w:t>
            </w:r>
          </w:p>
        </w:tc>
        <w:tc>
          <w:tcPr>
            <w:tcW w:w="2341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cantSplit w:val="true"/>
        </w:trPr>
        <w:tc>
          <w:tcPr>
            <w:tcW w:w="2339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    </w:t>
            </w:r>
            <w:r>
              <w:rPr>
                <w:rFonts w:ascii="Times New Roman" w:hAnsi="Times New Roman"/>
                <w:sz w:val="20"/>
                <w:szCs w:val="20"/>
              </w:rPr>
              <w:t>Hands-on (at least one conviction §176 ff StGB)</w:t>
            </w:r>
          </w:p>
        </w:tc>
        <w:tc>
          <w:tcPr>
            <w:tcW w:w="234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0·93</w:t>
            </w:r>
          </w:p>
        </w:tc>
        <w:tc>
          <w:tcPr>
            <w:tcW w:w="234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-0·29 to 2·2</w:t>
            </w:r>
          </w:p>
        </w:tc>
        <w:tc>
          <w:tcPr>
            <w:tcW w:w="2341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0·13</w:t>
            </w:r>
          </w:p>
        </w:tc>
      </w:tr>
      <w:tr>
        <w:trPr>
          <w:cantSplit w:val="true"/>
        </w:trPr>
        <w:tc>
          <w:tcPr>
            <w:tcW w:w="2339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Baseline value</w:t>
            </w:r>
          </w:p>
        </w:tc>
        <w:tc>
          <w:tcPr>
            <w:tcW w:w="234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0·84</w:t>
            </w:r>
          </w:p>
        </w:tc>
        <w:tc>
          <w:tcPr>
            <w:tcW w:w="234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0·77 to 0·91</w:t>
            </w:r>
          </w:p>
        </w:tc>
        <w:tc>
          <w:tcPr>
            <w:tcW w:w="2341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&lt;0·0001</w:t>
            </w:r>
          </w:p>
        </w:tc>
      </w:tr>
      <w:tr>
        <w:trPr>
          <w:cantSplit w:val="true"/>
        </w:trPr>
        <w:tc>
          <w:tcPr>
            <w:tcW w:w="2339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Static recidivism risk</w:t>
            </w:r>
          </w:p>
        </w:tc>
        <w:tc>
          <w:tcPr>
            <w:tcW w:w="234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0·38</w:t>
            </w:r>
          </w:p>
        </w:tc>
        <w:tc>
          <w:tcPr>
            <w:tcW w:w="234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-0·13 to 0·88</w:t>
            </w:r>
          </w:p>
        </w:tc>
        <w:tc>
          <w:tcPr>
            <w:tcW w:w="2341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0·14</w:t>
            </w:r>
          </w:p>
        </w:tc>
      </w:tr>
      <w:tr>
        <w:trPr>
          <w:cantSplit w:val="true"/>
        </w:trPr>
        <w:tc>
          <w:tcPr>
            <w:tcW w:w="2339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Timepoint * treatment</w:t>
            </w:r>
          </w:p>
        </w:tc>
        <w:tc>
          <w:tcPr>
            <w:tcW w:w="234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34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341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cantSplit w:val="true"/>
        </w:trPr>
        <w:tc>
          <w:tcPr>
            <w:tcW w:w="2339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    </w:t>
            </w:r>
            <w:r>
              <w:rPr>
                <w:rFonts w:ascii="Times New Roman" w:hAnsi="Times New Roman"/>
                <w:sz w:val="20"/>
                <w:szCs w:val="20"/>
              </w:rPr>
              <w:t>Module 1 (post) * Intervention</w:t>
            </w:r>
          </w:p>
        </w:tc>
        <w:tc>
          <w:tcPr>
            <w:tcW w:w="234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0·39</w:t>
            </w:r>
          </w:p>
        </w:tc>
        <w:tc>
          <w:tcPr>
            <w:tcW w:w="234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-0·83 to 1·6</w:t>
            </w:r>
          </w:p>
        </w:tc>
        <w:tc>
          <w:tcPr>
            <w:tcW w:w="2341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0·53</w:t>
            </w:r>
          </w:p>
        </w:tc>
      </w:tr>
      <w:tr>
        <w:trPr>
          <w:cantSplit w:val="true"/>
        </w:trPr>
        <w:tc>
          <w:tcPr>
            <w:tcW w:w="2339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    </w:t>
            </w:r>
            <w:r>
              <w:rPr>
                <w:rFonts w:ascii="Times New Roman" w:hAnsi="Times New Roman"/>
                <w:sz w:val="20"/>
                <w:szCs w:val="20"/>
              </w:rPr>
              <w:t>Module 2 (post) * Intervention</w:t>
            </w:r>
          </w:p>
        </w:tc>
        <w:tc>
          <w:tcPr>
            <w:tcW w:w="234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-0·97</w:t>
            </w:r>
          </w:p>
        </w:tc>
        <w:tc>
          <w:tcPr>
            <w:tcW w:w="234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-2·6 to 0·65</w:t>
            </w:r>
          </w:p>
        </w:tc>
        <w:tc>
          <w:tcPr>
            <w:tcW w:w="2341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0·24</w:t>
            </w:r>
          </w:p>
        </w:tc>
      </w:tr>
      <w:tr>
        <w:trPr>
          <w:cantSplit w:val="true"/>
        </w:trPr>
        <w:tc>
          <w:tcPr>
            <w:tcW w:w="2339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    </w:t>
            </w:r>
            <w:r>
              <w:rPr>
                <w:rFonts w:ascii="Times New Roman" w:hAnsi="Times New Roman"/>
                <w:sz w:val="20"/>
                <w:szCs w:val="20"/>
              </w:rPr>
              <w:t>Module 3 (post) * Intervention</w:t>
            </w:r>
          </w:p>
        </w:tc>
        <w:tc>
          <w:tcPr>
            <w:tcW w:w="234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-0·33</w:t>
            </w:r>
          </w:p>
        </w:tc>
        <w:tc>
          <w:tcPr>
            <w:tcW w:w="234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-1·9 to 1·3</w:t>
            </w:r>
          </w:p>
        </w:tc>
        <w:tc>
          <w:tcPr>
            <w:tcW w:w="2341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0·68</w:t>
            </w:r>
          </w:p>
        </w:tc>
      </w:tr>
      <w:tr>
        <w:trPr>
          <w:cantSplit w:val="true"/>
        </w:trPr>
        <w:tc>
          <w:tcPr>
            <w:tcW w:w="2339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    </w:t>
            </w:r>
            <w:r>
              <w:rPr>
                <w:rFonts w:ascii="Times New Roman" w:hAnsi="Times New Roman"/>
                <w:sz w:val="20"/>
                <w:szCs w:val="20"/>
              </w:rPr>
              <w:t>Module 4 (post) * Intervention</w:t>
            </w:r>
          </w:p>
        </w:tc>
        <w:tc>
          <w:tcPr>
            <w:tcW w:w="234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-0·25</w:t>
            </w:r>
          </w:p>
        </w:tc>
        <w:tc>
          <w:tcPr>
            <w:tcW w:w="234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-1·8 to 1·3</w:t>
            </w:r>
          </w:p>
        </w:tc>
        <w:tc>
          <w:tcPr>
            <w:tcW w:w="2341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0·75</w:t>
            </w:r>
          </w:p>
        </w:tc>
      </w:tr>
      <w:tr>
        <w:trPr>
          <w:cantSplit w:val="true"/>
        </w:trPr>
        <w:tc>
          <w:tcPr>
            <w:tcW w:w="2339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    </w:t>
            </w:r>
            <w:r>
              <w:rPr>
                <w:rFonts w:ascii="Times New Roman" w:hAnsi="Times New Roman"/>
                <w:sz w:val="20"/>
                <w:szCs w:val="20"/>
              </w:rPr>
              <w:t>Module 5 (post) * Intervention</w:t>
            </w:r>
          </w:p>
        </w:tc>
        <w:tc>
          <w:tcPr>
            <w:tcW w:w="234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-0·14</w:t>
            </w:r>
          </w:p>
        </w:tc>
        <w:tc>
          <w:tcPr>
            <w:tcW w:w="234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-2·0 to 1·8</w:t>
            </w:r>
          </w:p>
        </w:tc>
        <w:tc>
          <w:tcPr>
            <w:tcW w:w="2341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0·89</w:t>
            </w:r>
          </w:p>
        </w:tc>
      </w:tr>
      <w:tr>
        <w:trPr>
          <w:cantSplit w:val="true"/>
        </w:trPr>
        <w:tc>
          <w:tcPr>
            <w:tcW w:w="2339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    </w:t>
            </w:r>
            <w:r>
              <w:rPr>
                <w:rFonts w:ascii="Times New Roman" w:hAnsi="Times New Roman"/>
                <w:sz w:val="20"/>
                <w:szCs w:val="20"/>
              </w:rPr>
              <w:t>Module 6 (post) * Intervention</w:t>
            </w:r>
          </w:p>
        </w:tc>
        <w:tc>
          <w:tcPr>
            <w:tcW w:w="234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-0·61</w:t>
            </w:r>
          </w:p>
        </w:tc>
        <w:tc>
          <w:tcPr>
            <w:tcW w:w="234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-2·6 to 1·4</w:t>
            </w:r>
          </w:p>
        </w:tc>
        <w:tc>
          <w:tcPr>
            <w:tcW w:w="2341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0·54</w:t>
            </w:r>
          </w:p>
        </w:tc>
      </w:tr>
      <w:tr>
        <w:trPr>
          <w:cantSplit w:val="true"/>
        </w:trPr>
        <w:tc>
          <w:tcPr>
            <w:tcW w:w="2339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Timepoint</w:t>
            </w:r>
          </w:p>
        </w:tc>
        <w:tc>
          <w:tcPr>
            <w:tcW w:w="234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34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341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cantSplit w:val="true"/>
        </w:trPr>
        <w:tc>
          <w:tcPr>
            <w:tcW w:w="2339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    </w:t>
            </w:r>
            <w:r>
              <w:rPr>
                <w:rFonts w:ascii="Times New Roman" w:hAnsi="Times New Roman"/>
                <w:sz w:val="20"/>
                <w:szCs w:val="20"/>
              </w:rPr>
              <w:t>Module 1 (post)</w:t>
            </w:r>
          </w:p>
        </w:tc>
        <w:tc>
          <w:tcPr>
            <w:tcW w:w="234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0·00</w:t>
            </w:r>
          </w:p>
        </w:tc>
        <w:tc>
          <w:tcPr>
            <w:tcW w:w="234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Ref.</w:t>
            </w:r>
          </w:p>
        </w:tc>
        <w:tc>
          <w:tcPr>
            <w:tcW w:w="2341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cantSplit w:val="true"/>
        </w:trPr>
        <w:tc>
          <w:tcPr>
            <w:tcW w:w="2339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    </w:t>
            </w:r>
            <w:r>
              <w:rPr>
                <w:rFonts w:ascii="Times New Roman" w:hAnsi="Times New Roman"/>
                <w:sz w:val="20"/>
                <w:szCs w:val="20"/>
              </w:rPr>
              <w:t>Module 2 (post)</w:t>
            </w:r>
          </w:p>
        </w:tc>
        <w:tc>
          <w:tcPr>
            <w:tcW w:w="234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0·98</w:t>
            </w:r>
          </w:p>
        </w:tc>
        <w:tc>
          <w:tcPr>
            <w:tcW w:w="234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-0·01 to 2·0</w:t>
            </w:r>
          </w:p>
        </w:tc>
        <w:tc>
          <w:tcPr>
            <w:tcW w:w="2341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0·052</w:t>
            </w:r>
          </w:p>
        </w:tc>
      </w:tr>
      <w:tr>
        <w:trPr>
          <w:cantSplit w:val="true"/>
        </w:trPr>
        <w:tc>
          <w:tcPr>
            <w:tcW w:w="2339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    </w:t>
            </w:r>
            <w:r>
              <w:rPr>
                <w:rFonts w:ascii="Times New Roman" w:hAnsi="Times New Roman"/>
                <w:sz w:val="20"/>
                <w:szCs w:val="20"/>
              </w:rPr>
              <w:t>Module 3 (post)</w:t>
            </w:r>
          </w:p>
        </w:tc>
        <w:tc>
          <w:tcPr>
            <w:tcW w:w="234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-0·46</w:t>
            </w:r>
          </w:p>
        </w:tc>
        <w:tc>
          <w:tcPr>
            <w:tcW w:w="234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-1·4 to 0·50</w:t>
            </w:r>
          </w:p>
        </w:tc>
        <w:tc>
          <w:tcPr>
            <w:tcW w:w="2341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0·34</w:t>
            </w:r>
          </w:p>
        </w:tc>
      </w:tr>
      <w:tr>
        <w:trPr>
          <w:cantSplit w:val="true"/>
        </w:trPr>
        <w:tc>
          <w:tcPr>
            <w:tcW w:w="2339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    </w:t>
            </w:r>
            <w:r>
              <w:rPr>
                <w:rFonts w:ascii="Times New Roman" w:hAnsi="Times New Roman"/>
                <w:sz w:val="20"/>
                <w:szCs w:val="20"/>
              </w:rPr>
              <w:t>Module 4 (post)</w:t>
            </w:r>
          </w:p>
        </w:tc>
        <w:tc>
          <w:tcPr>
            <w:tcW w:w="234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-0·53</w:t>
            </w:r>
          </w:p>
        </w:tc>
        <w:tc>
          <w:tcPr>
            <w:tcW w:w="234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-1·6 to 0·51</w:t>
            </w:r>
          </w:p>
        </w:tc>
        <w:tc>
          <w:tcPr>
            <w:tcW w:w="2341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0·31</w:t>
            </w:r>
          </w:p>
        </w:tc>
      </w:tr>
      <w:tr>
        <w:trPr>
          <w:cantSplit w:val="true"/>
        </w:trPr>
        <w:tc>
          <w:tcPr>
            <w:tcW w:w="2339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    </w:t>
            </w:r>
            <w:r>
              <w:rPr>
                <w:rFonts w:ascii="Times New Roman" w:hAnsi="Times New Roman"/>
                <w:sz w:val="20"/>
                <w:szCs w:val="20"/>
              </w:rPr>
              <w:t>Module 5 (post)</w:t>
            </w:r>
          </w:p>
        </w:tc>
        <w:tc>
          <w:tcPr>
            <w:tcW w:w="234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0·07</w:t>
            </w:r>
          </w:p>
        </w:tc>
        <w:tc>
          <w:tcPr>
            <w:tcW w:w="234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-1·1 to 1·3</w:t>
            </w:r>
          </w:p>
        </w:tc>
        <w:tc>
          <w:tcPr>
            <w:tcW w:w="2341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0·91</w:t>
            </w:r>
          </w:p>
        </w:tc>
      </w:tr>
      <w:tr>
        <w:trPr>
          <w:cantSplit w:val="true"/>
        </w:trPr>
        <w:tc>
          <w:tcPr>
            <w:tcW w:w="2339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    </w:t>
            </w:r>
            <w:r>
              <w:rPr>
                <w:rFonts w:ascii="Times New Roman" w:hAnsi="Times New Roman"/>
                <w:sz w:val="20"/>
                <w:szCs w:val="20"/>
              </w:rPr>
              <w:t>Module 6 (post)</w:t>
            </w:r>
          </w:p>
        </w:tc>
        <w:tc>
          <w:tcPr>
            <w:tcW w:w="234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0·16</w:t>
            </w:r>
          </w:p>
        </w:tc>
        <w:tc>
          <w:tcPr>
            <w:tcW w:w="234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-0·97 to 1·3</w:t>
            </w:r>
          </w:p>
        </w:tc>
        <w:tc>
          <w:tcPr>
            <w:tcW w:w="2341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0·78</w:t>
            </w:r>
          </w:p>
        </w:tc>
      </w:tr>
      <w:tr>
        <w:trPr>
          <w:cantSplit w:val="true"/>
        </w:trPr>
        <w:tc>
          <w:tcPr>
            <w:tcW w:w="9360" w:type="dxa"/>
            <w:gridSpan w:val="4"/>
            <w:tcBorders/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Abbreviation: CI = Confidence Interval, StGB = German penalty law.</w:t>
            </w:r>
          </w:p>
        </w:tc>
      </w:tr>
    </w:tbl>
    <w:p>
      <w:pPr>
        <w:pStyle w:val="FirstParagraph"/>
        <w:spacing w:before="180" w:after="180"/>
        <w:rPr/>
      </w:pPr>
      <w:r>
        <w:rPr/>
      </w:r>
    </w:p>
    <w:sectPr>
      <w:type w:val="nextPage"/>
      <w:pgSz w:w="12240" w:h="15840"/>
      <w:pgMar w:left="1440" w:right="1440" w:gutter="0" w:header="0" w:top="1440" w:footer="0" w:bottom="1440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Aptos">
    <w:charset w:val="01"/>
    <w:family w:val="roman"/>
    <w:pitch w:val="variable"/>
  </w:font>
  <w:font w:name="Aptos Display">
    <w:charset w:val="01"/>
    <w:family w:val="roman"/>
    <w:pitch w:val="variable"/>
  </w:font>
  <w:font w:name="Consolas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Times New Roman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embedSystemFonts/>
  <w:defaultTabStop w:val="720"/>
  <w:autoHyphenation w:val="true"/>
  <w:hyphenationZone w:val="0"/>
  <w:compat>
    <w:compatSetting w:name="compatibilityMode" w:uri="http://schemas.microsoft.com/office/word" w:val="12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ptos" w:hAnsi="Aptos" w:eastAsia="Aptos" w:cs="" w:asciiTheme="minorHAnsi" w:cstheme="minorBidi" w:eastAsiaTheme="minorHAnsi" w:hAnsiTheme="minorHAnsi"/>
        <w:sz w:val="24"/>
        <w:szCs w:val="24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276"/>
  <w:style w:type="paragraph" w:styleId="Normal" w:default="1">
    <w:name w:val="Normal"/>
    <w:qFormat/>
    <w:pPr>
      <w:widowControl/>
      <w:bidi w:val="0"/>
      <w:spacing w:before="0" w:after="200"/>
      <w:jc w:val="left"/>
    </w:pPr>
    <w:rPr>
      <w:rFonts w:ascii="Aptos" w:hAnsi="Aptos" w:eastAsia="Aptos" w:cs="" w:asciiTheme="minorHAnsi" w:cstheme="minorBidi" w:eastAsiaTheme="minorHAnsi" w:hAnsiTheme="minorHAnsi"/>
      <w:color w:val="auto"/>
      <w:kern w:val="0"/>
      <w:sz w:val="24"/>
      <w:szCs w:val="24"/>
      <w:lang w:val="en-US" w:eastAsia="en-US" w:bidi="ar-SA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10fd9"/>
    <w:pPr>
      <w:keepNext w:val="true"/>
      <w:keepLines/>
      <w:spacing w:before="360" w:after="80"/>
      <w:outlineLvl w:val="0"/>
    </w:pPr>
    <w:rPr>
      <w:rFonts w:ascii="Aptos Display" w:hAnsi="Aptos Display" w:eastAsia="" w:cs="" w:asciiTheme="majorHAnsi" w:cstheme="majorBidi" w:eastAsiaTheme="majorEastAsia" w:hAnsiTheme="majorHAnsi"/>
      <w:color w:themeColor="accent1" w:themeShade="bf" w:val="0F4761"/>
      <w:sz w:val="40"/>
      <w:szCs w:val="40"/>
    </w:rPr>
  </w:style>
  <w:style w:type="paragraph" w:styleId="Heading2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 w:val="true"/>
      <w:keepLines/>
      <w:spacing w:before="160" w:after="80"/>
      <w:outlineLvl w:val="1"/>
    </w:pPr>
    <w:rPr>
      <w:rFonts w:ascii="Aptos Display" w:hAnsi="Aptos Display" w:eastAsia="" w:cs="" w:asciiTheme="majorHAnsi" w:cstheme="majorBidi" w:eastAsiaTheme="majorEastAsia" w:hAnsiTheme="majorHAnsi"/>
      <w:color w:themeColor="accent1" w:themeShade="bf" w:val="0F4761"/>
      <w:sz w:val="32"/>
      <w:szCs w:val="32"/>
    </w:rPr>
  </w:style>
  <w:style w:type="paragraph" w:styleId="Heading3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 w:val="true"/>
      <w:keepLines/>
      <w:spacing w:before="160" w:after="80"/>
      <w:outlineLvl w:val="2"/>
    </w:pPr>
    <w:rPr>
      <w:rFonts w:eastAsia="" w:cs="" w:cstheme="majorBidi" w:eastAsiaTheme="majorEastAsia"/>
      <w:color w:themeColor="accent1" w:themeShade="bf" w:val="0F4761"/>
      <w:sz w:val="28"/>
      <w:szCs w:val="28"/>
    </w:rPr>
  </w:style>
  <w:style w:type="paragraph" w:styleId="Heading4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 w:val="true"/>
      <w:keepLines/>
      <w:spacing w:before="80" w:after="40"/>
      <w:outlineLvl w:val="3"/>
    </w:pPr>
    <w:rPr>
      <w:rFonts w:eastAsia="" w:cs="" w:cstheme="majorBidi" w:eastAsiaTheme="majorEastAsia"/>
      <w:i/>
      <w:iCs/>
      <w:color w:themeColor="accent1" w:themeShade="bf" w:val="0F4761"/>
    </w:rPr>
  </w:style>
  <w:style w:type="paragraph" w:styleId="Heading5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 w:val="true"/>
      <w:keepLines/>
      <w:spacing w:before="80" w:after="40"/>
      <w:outlineLvl w:val="4"/>
    </w:pPr>
    <w:rPr>
      <w:rFonts w:eastAsia="" w:cs="" w:cstheme="majorBidi" w:eastAsiaTheme="majorEastAsia"/>
      <w:color w:themeColor="accent1" w:themeShade="bf" w:val="0F4761"/>
    </w:rPr>
  </w:style>
  <w:style w:type="paragraph" w:styleId="Heading6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 w:val="true"/>
      <w:keepLines/>
      <w:spacing w:before="40" w:after="0"/>
      <w:outlineLvl w:val="5"/>
    </w:pPr>
    <w:rPr>
      <w:rFonts w:eastAsia="" w:cs="" w:cstheme="majorBidi" w:eastAsiaTheme="majorEastAsia"/>
      <w:i/>
      <w:iCs/>
      <w:color w:themeColor="text1" w:themeTint="a6" w:val="595959"/>
    </w:rPr>
  </w:style>
  <w:style w:type="paragraph" w:styleId="Heading7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 w:val="true"/>
      <w:keepLines/>
      <w:spacing w:before="40" w:after="0"/>
      <w:outlineLvl w:val="6"/>
    </w:pPr>
    <w:rPr>
      <w:rFonts w:eastAsia="" w:cs="" w:cstheme="majorBidi" w:eastAsiaTheme="majorEastAsia"/>
      <w:color w:themeColor="text1" w:themeTint="a6" w:val="595959"/>
    </w:rPr>
  </w:style>
  <w:style w:type="paragraph" w:styleId="Heading8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 w:val="true"/>
      <w:keepLines/>
      <w:spacing w:before="0" w:after="0"/>
      <w:outlineLvl w:val="7"/>
    </w:pPr>
    <w:rPr>
      <w:rFonts w:eastAsia="" w:cs="" w:cstheme="majorBidi" w:eastAsiaTheme="majorEastAsia"/>
      <w:i/>
      <w:iCs/>
      <w:color w:themeColor="text1" w:themeTint="d8" w:val="272727"/>
    </w:rPr>
  </w:style>
  <w:style w:type="paragraph" w:styleId="Heading9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 w:val="true"/>
      <w:keepLines/>
      <w:spacing w:before="0" w:after="0"/>
      <w:outlineLvl w:val="8"/>
    </w:pPr>
    <w:rPr>
      <w:rFonts w:eastAsia="" w:cs="" w:cstheme="majorBidi" w:eastAsiaTheme="majorEastAsia"/>
      <w:color w:themeColor="text1" w:themeTint="d8" w:val="272727"/>
    </w:rPr>
  </w:style>
  <w:style w:type="character" w:styleId="TitleChar" w:customStyle="1">
    <w:name w:val="Title Char"/>
    <w:basedOn w:val="DefaultParagraphFont"/>
    <w:uiPriority w:val="10"/>
    <w:qFormat/>
    <w:rsid w:val="00a10fd9"/>
    <w:rPr>
      <w:rFonts w:ascii="Aptos Display" w:hAnsi="Aptos Display" w:eastAsia="" w:cs="" w:asciiTheme="majorHAnsi" w:cstheme="majorBidi" w:eastAsiaTheme="majorEastAsia" w:hAnsiTheme="majorHAnsi"/>
      <w:sz w:val="56"/>
      <w:szCs w:val="56"/>
    </w:rPr>
  </w:style>
  <w:style w:type="character" w:styleId="SubtitleChar" w:customStyle="1">
    <w:name w:val="Subtitle Char"/>
    <w:basedOn w:val="DefaultParagraphFont"/>
    <w:uiPriority w:val="11"/>
    <w:qFormat/>
    <w:rsid w:val="00a10fd9"/>
    <w:rPr>
      <w:rFonts w:eastAsia="" w:cs="" w:cstheme="majorBidi" w:eastAsiaTheme="majorEastAsia"/>
      <w:color w:themeColor="text1" w:themeTint="a6" w:val="595959"/>
      <w:spacing w:val="15"/>
      <w:sz w:val="28"/>
      <w:szCs w:val="28"/>
    </w:rPr>
  </w:style>
  <w:style w:type="character" w:styleId="Heading1Char" w:customStyle="1">
    <w:name w:val="Heading 1 Char"/>
    <w:basedOn w:val="DefaultParagraphFont"/>
    <w:uiPriority w:val="9"/>
    <w:qFormat/>
    <w:rsid w:val="00a10fd9"/>
    <w:rPr>
      <w:rFonts w:ascii="Aptos Display" w:hAnsi="Aptos Display" w:eastAsia="" w:cs="" w:asciiTheme="majorHAnsi" w:cstheme="majorBidi" w:eastAsiaTheme="majorEastAsia" w:hAnsiTheme="majorHAnsi"/>
      <w:color w:themeColor="accent1" w:themeShade="bf" w:val="0F4761"/>
      <w:sz w:val="40"/>
      <w:szCs w:val="40"/>
    </w:rPr>
  </w:style>
  <w:style w:type="character" w:styleId="Heading2Char" w:customStyle="1">
    <w:name w:val="Heading 2 Char"/>
    <w:basedOn w:val="DefaultParagraphFont"/>
    <w:uiPriority w:val="9"/>
    <w:semiHidden/>
    <w:qFormat/>
    <w:rsid w:val="00a10fd9"/>
    <w:rPr>
      <w:rFonts w:ascii="Aptos Display" w:hAnsi="Aptos Display" w:eastAsia="" w:cs="" w:asciiTheme="majorHAnsi" w:cstheme="majorBidi" w:eastAsiaTheme="majorEastAsia" w:hAnsiTheme="majorHAnsi"/>
      <w:color w:themeColor="accent1" w:themeShade="bf" w:val="0F4761"/>
      <w:sz w:val="32"/>
      <w:szCs w:val="32"/>
    </w:rPr>
  </w:style>
  <w:style w:type="character" w:styleId="Heading3Char" w:customStyle="1">
    <w:name w:val="Heading 3 Char"/>
    <w:basedOn w:val="DefaultParagraphFont"/>
    <w:uiPriority w:val="9"/>
    <w:semiHidden/>
    <w:qFormat/>
    <w:rsid w:val="00a10fd9"/>
    <w:rPr>
      <w:rFonts w:eastAsia="" w:cs="" w:cstheme="majorBidi" w:eastAsiaTheme="majorEastAsia"/>
      <w:color w:themeColor="accent1" w:themeShade="bf" w:val="0F4761"/>
      <w:sz w:val="28"/>
      <w:szCs w:val="28"/>
    </w:rPr>
  </w:style>
  <w:style w:type="character" w:styleId="Heading4Char" w:customStyle="1">
    <w:name w:val="Heading 4 Char"/>
    <w:basedOn w:val="DefaultParagraphFont"/>
    <w:uiPriority w:val="9"/>
    <w:semiHidden/>
    <w:qFormat/>
    <w:rsid w:val="00a10fd9"/>
    <w:rPr>
      <w:rFonts w:eastAsia="" w:cs="" w:cstheme="majorBidi" w:eastAsiaTheme="majorEastAsia"/>
      <w:i/>
      <w:iCs/>
      <w:color w:themeColor="accent1" w:themeShade="bf" w:val="0F4761"/>
    </w:rPr>
  </w:style>
  <w:style w:type="character" w:styleId="Heading5Char" w:customStyle="1">
    <w:name w:val="Heading 5 Char"/>
    <w:basedOn w:val="DefaultParagraphFont"/>
    <w:uiPriority w:val="9"/>
    <w:semiHidden/>
    <w:qFormat/>
    <w:rsid w:val="00a10fd9"/>
    <w:rPr>
      <w:rFonts w:eastAsia="" w:cs="" w:cstheme="majorBidi" w:eastAsiaTheme="majorEastAsia"/>
      <w:color w:themeColor="accent1" w:themeShade="bf" w:val="0F4761"/>
    </w:rPr>
  </w:style>
  <w:style w:type="character" w:styleId="Heading6Char" w:customStyle="1">
    <w:name w:val="Heading 6 Char"/>
    <w:basedOn w:val="DefaultParagraphFont"/>
    <w:uiPriority w:val="9"/>
    <w:semiHidden/>
    <w:qFormat/>
    <w:rsid w:val="00a10fd9"/>
    <w:rPr>
      <w:rFonts w:eastAsia="" w:cs="" w:cstheme="majorBidi" w:eastAsiaTheme="majorEastAsia"/>
      <w:i/>
      <w:iCs/>
      <w:color w:themeColor="text1" w:themeTint="a6" w:val="595959"/>
    </w:rPr>
  </w:style>
  <w:style w:type="character" w:styleId="Heading7Char" w:customStyle="1">
    <w:name w:val="Heading 7 Char"/>
    <w:basedOn w:val="DefaultParagraphFont"/>
    <w:uiPriority w:val="9"/>
    <w:semiHidden/>
    <w:qFormat/>
    <w:rsid w:val="00a10fd9"/>
    <w:rPr>
      <w:rFonts w:eastAsia="" w:cs="" w:cstheme="majorBidi" w:eastAsiaTheme="majorEastAsia"/>
      <w:color w:themeColor="text1" w:themeTint="a6" w:val="595959"/>
    </w:rPr>
  </w:style>
  <w:style w:type="character" w:styleId="Heading8Char" w:customStyle="1">
    <w:name w:val="Heading 8 Char"/>
    <w:basedOn w:val="DefaultParagraphFont"/>
    <w:uiPriority w:val="9"/>
    <w:semiHidden/>
    <w:qFormat/>
    <w:rsid w:val="00a10fd9"/>
    <w:rPr>
      <w:rFonts w:eastAsia="" w:cs="" w:cstheme="majorBidi" w:eastAsiaTheme="majorEastAsia"/>
      <w:i/>
      <w:iCs/>
      <w:color w:themeColor="text1" w:themeTint="d8" w:val="272727"/>
    </w:rPr>
  </w:style>
  <w:style w:type="character" w:styleId="Heading9Char" w:customStyle="1">
    <w:name w:val="Heading 9 Char"/>
    <w:basedOn w:val="DefaultParagraphFont"/>
    <w:uiPriority w:val="9"/>
    <w:semiHidden/>
    <w:qFormat/>
    <w:rsid w:val="00a10fd9"/>
    <w:rPr>
      <w:rFonts w:eastAsia="" w:cs="" w:cstheme="majorBidi" w:eastAsiaTheme="majorEastAsia"/>
      <w:color w:themeColor="text1" w:themeTint="d8" w:val="272727"/>
    </w:rPr>
  </w:style>
  <w:style w:type="character" w:styleId="DefaultParagraphFont" w:default="1">
    <w:name w:val="Default Paragraph Font"/>
    <w:semiHidden/>
    <w:unhideWhenUsed/>
    <w:qFormat/>
    <w:rPr/>
  </w:style>
  <w:style w:type="character" w:styleId="BodyTextChar" w:customStyle="1">
    <w:name w:val="Body Text Char"/>
    <w:basedOn w:val="DefaultParagraphFont"/>
    <w:qFormat/>
    <w:rPr/>
  </w:style>
  <w:style w:type="character" w:styleId="VerbatimChar" w:customStyle="1">
    <w:name w:val="Verbatim Char"/>
    <w:basedOn w:val="BodyTextChar"/>
    <w:qFormat/>
    <w:rPr>
      <w:rFonts w:ascii="Consolas" w:hAnsi="Consolas"/>
      <w:sz w:val="22"/>
    </w:rPr>
  </w:style>
  <w:style w:type="character" w:styleId="SectionNumber" w:customStyle="1">
    <w:name w:val="Section Number"/>
    <w:basedOn w:val="BodyTextChar"/>
    <w:qFormat/>
    <w:rPr/>
  </w:style>
  <w:style w:type="character" w:styleId="Funotenzeichen">
    <w:name w:val="Fußnotenzeichen"/>
    <w:basedOn w:val="BodyTextChar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Hyperlink">
    <w:name w:val="Hyperlink"/>
    <w:basedOn w:val="BodyTextChar"/>
    <w:rPr>
      <w:color w:themeColor="accent1" w:val="4F81BD"/>
    </w:rPr>
  </w:style>
  <w:style w:type="character" w:styleId="KeywordTok" w:customStyle="1">
    <w:name w:val="KeywordTok"/>
    <w:basedOn w:val="VerbatimChar"/>
    <w:qFormat/>
    <w:rPr>
      <w:b/>
      <w:color w:val="007020"/>
    </w:rPr>
  </w:style>
  <w:style w:type="character" w:styleId="DataTypeTok" w:customStyle="1">
    <w:name w:val="DataTypeTok"/>
    <w:basedOn w:val="VerbatimChar"/>
    <w:qFormat/>
    <w:rPr>
      <w:color w:val="902000"/>
    </w:rPr>
  </w:style>
  <w:style w:type="character" w:styleId="DecValTok" w:customStyle="1">
    <w:name w:val="DecValTok"/>
    <w:basedOn w:val="VerbatimChar"/>
    <w:qFormat/>
    <w:rPr>
      <w:color w:val="40A070"/>
    </w:rPr>
  </w:style>
  <w:style w:type="character" w:styleId="BaseNTok" w:customStyle="1">
    <w:name w:val="BaseNTok"/>
    <w:basedOn w:val="VerbatimChar"/>
    <w:qFormat/>
    <w:rPr>
      <w:color w:val="40A070"/>
    </w:rPr>
  </w:style>
  <w:style w:type="character" w:styleId="FloatTok" w:customStyle="1">
    <w:name w:val="FloatTok"/>
    <w:basedOn w:val="VerbatimChar"/>
    <w:qFormat/>
    <w:rPr>
      <w:color w:val="40A070"/>
    </w:rPr>
  </w:style>
  <w:style w:type="character" w:styleId="ConstantTok" w:customStyle="1">
    <w:name w:val="ConstantTok"/>
    <w:basedOn w:val="VerbatimChar"/>
    <w:qFormat/>
    <w:rPr>
      <w:color w:val="880000"/>
    </w:rPr>
  </w:style>
  <w:style w:type="character" w:styleId="CharTok" w:customStyle="1">
    <w:name w:val="CharTok"/>
    <w:basedOn w:val="VerbatimChar"/>
    <w:qFormat/>
    <w:rPr>
      <w:color w:val="4070A0"/>
    </w:rPr>
  </w:style>
  <w:style w:type="character" w:styleId="SpecialCharTok" w:customStyle="1">
    <w:name w:val="SpecialCharTok"/>
    <w:basedOn w:val="VerbatimChar"/>
    <w:qFormat/>
    <w:rPr>
      <w:color w:val="4070A0"/>
    </w:rPr>
  </w:style>
  <w:style w:type="character" w:styleId="StringTok" w:customStyle="1">
    <w:name w:val="StringTok"/>
    <w:basedOn w:val="VerbatimChar"/>
    <w:qFormat/>
    <w:rPr>
      <w:color w:val="4070A0"/>
    </w:rPr>
  </w:style>
  <w:style w:type="character" w:styleId="VerbatimStringTok" w:customStyle="1">
    <w:name w:val="VerbatimStringTok"/>
    <w:basedOn w:val="VerbatimChar"/>
    <w:qFormat/>
    <w:rPr>
      <w:color w:val="4070A0"/>
    </w:rPr>
  </w:style>
  <w:style w:type="character" w:styleId="SpecialStringTok" w:customStyle="1">
    <w:name w:val="SpecialStringTok"/>
    <w:basedOn w:val="VerbatimChar"/>
    <w:qFormat/>
    <w:rPr>
      <w:color w:val="BB6688"/>
    </w:rPr>
  </w:style>
  <w:style w:type="character" w:styleId="ImportTok" w:customStyle="1">
    <w:name w:val="ImportTok"/>
    <w:basedOn w:val="VerbatimChar"/>
    <w:qFormat/>
    <w:rPr>
      <w:b/>
      <w:color w:val="008000"/>
    </w:rPr>
  </w:style>
  <w:style w:type="character" w:styleId="CommentTok" w:customStyle="1">
    <w:name w:val="CommentTok"/>
    <w:basedOn w:val="VerbatimChar"/>
    <w:qFormat/>
    <w:rPr>
      <w:i/>
      <w:color w:val="60A0B0"/>
    </w:rPr>
  </w:style>
  <w:style w:type="character" w:styleId="DocumentationTok" w:customStyle="1">
    <w:name w:val="DocumentationTok"/>
    <w:basedOn w:val="VerbatimChar"/>
    <w:qFormat/>
    <w:rPr>
      <w:i/>
      <w:color w:val="BA2121"/>
    </w:rPr>
  </w:style>
  <w:style w:type="character" w:styleId="AnnotationTok" w:customStyle="1">
    <w:name w:val="AnnotationTok"/>
    <w:basedOn w:val="VerbatimChar"/>
    <w:qFormat/>
    <w:rPr>
      <w:b/>
      <w:i/>
      <w:color w:val="60A0B0"/>
    </w:rPr>
  </w:style>
  <w:style w:type="character" w:styleId="CommentVarTok" w:customStyle="1">
    <w:name w:val="CommentVarTok"/>
    <w:basedOn w:val="VerbatimChar"/>
    <w:qFormat/>
    <w:rPr>
      <w:b/>
      <w:i/>
      <w:color w:val="60A0B0"/>
    </w:rPr>
  </w:style>
  <w:style w:type="character" w:styleId="OtherTok" w:customStyle="1">
    <w:name w:val="OtherTok"/>
    <w:basedOn w:val="VerbatimChar"/>
    <w:qFormat/>
    <w:rPr>
      <w:color w:val="007020"/>
    </w:rPr>
  </w:style>
  <w:style w:type="character" w:styleId="FunctionTok" w:customStyle="1">
    <w:name w:val="FunctionTok"/>
    <w:basedOn w:val="VerbatimChar"/>
    <w:qFormat/>
    <w:rPr>
      <w:color w:val="06287E"/>
    </w:rPr>
  </w:style>
  <w:style w:type="character" w:styleId="VariableTok" w:customStyle="1">
    <w:name w:val="VariableTok"/>
    <w:basedOn w:val="VerbatimChar"/>
    <w:qFormat/>
    <w:rPr>
      <w:color w:val="19177C"/>
    </w:rPr>
  </w:style>
  <w:style w:type="character" w:styleId="ControlFlowTok" w:customStyle="1">
    <w:name w:val="ControlFlowTok"/>
    <w:basedOn w:val="VerbatimChar"/>
    <w:qFormat/>
    <w:rPr>
      <w:b/>
      <w:color w:val="007020"/>
    </w:rPr>
  </w:style>
  <w:style w:type="character" w:styleId="OperatorTok" w:customStyle="1">
    <w:name w:val="OperatorTok"/>
    <w:basedOn w:val="VerbatimChar"/>
    <w:qFormat/>
    <w:rPr>
      <w:color w:val="666666"/>
    </w:rPr>
  </w:style>
  <w:style w:type="character" w:styleId="BuiltInTok" w:customStyle="1">
    <w:name w:val="BuiltInTok"/>
    <w:basedOn w:val="VerbatimChar"/>
    <w:qFormat/>
    <w:rPr>
      <w:color w:val="008000"/>
    </w:rPr>
  </w:style>
  <w:style w:type="character" w:styleId="ExtensionTok" w:customStyle="1">
    <w:name w:val="ExtensionTok"/>
    <w:basedOn w:val="VerbatimChar"/>
    <w:qFormat/>
    <w:rPr/>
  </w:style>
  <w:style w:type="character" w:styleId="PreprocessorTok" w:customStyle="1">
    <w:name w:val="PreprocessorTok"/>
    <w:basedOn w:val="VerbatimChar"/>
    <w:qFormat/>
    <w:rPr>
      <w:color w:val="BC7A00"/>
    </w:rPr>
  </w:style>
  <w:style w:type="character" w:styleId="AttributeTok" w:customStyle="1">
    <w:name w:val="AttributeTok"/>
    <w:basedOn w:val="VerbatimChar"/>
    <w:qFormat/>
    <w:rPr>
      <w:color w:val="7D9029"/>
    </w:rPr>
  </w:style>
  <w:style w:type="character" w:styleId="RegionMarkerTok" w:customStyle="1">
    <w:name w:val="RegionMarkerTok"/>
    <w:basedOn w:val="VerbatimChar"/>
    <w:qFormat/>
    <w:rPr/>
  </w:style>
  <w:style w:type="character" w:styleId="InformationTok" w:customStyle="1">
    <w:name w:val="InformationTok"/>
    <w:basedOn w:val="VerbatimChar"/>
    <w:qFormat/>
    <w:rPr>
      <w:b/>
      <w:i/>
      <w:color w:val="60A0B0"/>
    </w:rPr>
  </w:style>
  <w:style w:type="character" w:styleId="WarningTok" w:customStyle="1">
    <w:name w:val="WarningTok"/>
    <w:basedOn w:val="VerbatimChar"/>
    <w:qFormat/>
    <w:rPr>
      <w:b/>
      <w:i/>
      <w:color w:val="60A0B0"/>
    </w:rPr>
  </w:style>
  <w:style w:type="character" w:styleId="AlertTok" w:customStyle="1">
    <w:name w:val="AlertTok"/>
    <w:basedOn w:val="VerbatimChar"/>
    <w:qFormat/>
    <w:rPr>
      <w:b/>
      <w:color w:val="FF0000"/>
    </w:rPr>
  </w:style>
  <w:style w:type="character" w:styleId="ErrorTok" w:customStyle="1">
    <w:name w:val="ErrorTok"/>
    <w:basedOn w:val="VerbatimChar"/>
    <w:qFormat/>
    <w:rPr>
      <w:b/>
      <w:color w:val="FF0000"/>
    </w:rPr>
  </w:style>
  <w:style w:type="character" w:styleId="NormalTok" w:customStyle="1">
    <w:name w:val="NormalTok"/>
    <w:basedOn w:val="VerbatimChar"/>
    <w:qFormat/>
    <w:rPr/>
  </w:style>
  <w:style w:type="paragraph" w:styleId="berschrift">
    <w:name w:val="Überschrift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Noto Sans Devanagari"/>
      <w:sz w:val="28"/>
      <w:szCs w:val="28"/>
    </w:rPr>
  </w:style>
  <w:style w:type="paragraph" w:styleId="BodyText">
    <w:name w:val="Body Text"/>
    <w:basedOn w:val="Normal"/>
    <w:link w:val="BodyTextChar"/>
    <w:qFormat/>
    <w:pPr>
      <w:spacing w:before="180" w:after="180"/>
    </w:pPr>
    <w:rPr/>
  </w:style>
  <w:style w:type="paragraph" w:styleId="List">
    <w:name w:val="List"/>
    <w:basedOn w:val="BodyText"/>
    <w:pPr/>
    <w:rPr>
      <w:rFonts w:cs="Noto Sans Devanagari"/>
    </w:rPr>
  </w:style>
  <w:style w:type="paragraph" w:styleId="Caption">
    <w:name w:val="caption"/>
    <w:basedOn w:val="Normal"/>
    <w:link w:val="BodyTextChar"/>
    <w:qFormat/>
    <w:pPr>
      <w:spacing w:before="0" w:after="120"/>
    </w:pPr>
    <w:rPr>
      <w:i/>
    </w:rPr>
  </w:style>
  <w:style w:type="paragraph" w:styleId="Verzeichnis">
    <w:name w:val="Verzeichnis"/>
    <w:basedOn w:val="Normal"/>
    <w:qFormat/>
    <w:pPr>
      <w:suppressLineNumbers/>
    </w:pPr>
    <w:rPr>
      <w:rFonts w:cs="Noto Sans Devanagari"/>
    </w:rPr>
  </w:style>
  <w:style w:type="paragraph" w:styleId="FirstParagraph" w:customStyle="1">
    <w:name w:val="First Paragraph"/>
    <w:basedOn w:val="BodyText"/>
    <w:next w:val="BodyText"/>
    <w:qFormat/>
    <w:pPr/>
    <w:rPr/>
  </w:style>
  <w:style w:type="paragraph" w:styleId="Compact" w:customStyle="1">
    <w:name w:val="Compact"/>
    <w:basedOn w:val="BodyText"/>
    <w:qFormat/>
    <w:pPr>
      <w:spacing w:before="36" w:after="36"/>
    </w:pPr>
    <w:rPr/>
  </w:style>
  <w:style w:type="paragraph" w:styleId="Title">
    <w:name w:val="Title"/>
    <w:basedOn w:val="Normal"/>
    <w:next w:val="BodyText"/>
    <w:link w:val="TitleChar"/>
    <w:uiPriority w:val="10"/>
    <w:qFormat/>
    <w:rsid w:val="00a10fd9"/>
    <w:pPr>
      <w:spacing w:lineRule="auto" w:line="240" w:before="0" w:after="80"/>
      <w:contextualSpacing/>
      <w:jc w:val="center"/>
    </w:pPr>
    <w:rPr>
      <w:rFonts w:ascii="Aptos Display" w:hAnsi="Aptos Display" w:eastAsia="" w:cs="" w:asciiTheme="majorHAnsi" w:cstheme="majorBidi" w:eastAsiaTheme="majorEastAsia" w:hAnsiTheme="majorHAnsi"/>
      <w:sz w:val="56"/>
      <w:szCs w:val="56"/>
    </w:rPr>
  </w:style>
  <w:style w:type="paragraph" w:styleId="Subtitle">
    <w:name w:val="Subtitle"/>
    <w:basedOn w:val="Title"/>
    <w:next w:val="BodyText"/>
    <w:link w:val="SubtitleChar"/>
    <w:uiPriority w:val="11"/>
    <w:qFormat/>
    <w:rsid w:val="00a10fd9"/>
    <w:pPr/>
    <w:rPr>
      <w:rFonts w:eastAsia="" w:cs="" w:cstheme="majorBidi" w:eastAsiaTheme="majorEastAsia"/>
      <w:spacing w:val="15"/>
      <w:sz w:val="28"/>
      <w:szCs w:val="28"/>
    </w:rPr>
  </w:style>
  <w:style w:type="paragraph" w:styleId="Author" w:customStyle="1">
    <w:name w:val="Author"/>
    <w:basedOn w:val="Title"/>
    <w:next w:val="BodyText"/>
    <w:qFormat/>
    <w:pPr>
      <w:keepNext w:val="true"/>
      <w:keepLines/>
    </w:pPr>
    <w:rPr>
      <w:sz w:val="24"/>
      <w:szCs w:val="24"/>
    </w:rPr>
  </w:style>
  <w:style w:type="paragraph" w:styleId="Date">
    <w:name w:val="Date"/>
    <w:basedOn w:val="Title"/>
    <w:next w:val="BodyText"/>
    <w:qFormat/>
    <w:pPr>
      <w:keepNext w:val="true"/>
      <w:keepLines/>
    </w:pPr>
    <w:rPr>
      <w:sz w:val="24"/>
      <w:szCs w:val="24"/>
    </w:rPr>
  </w:style>
  <w:style w:type="paragraph" w:styleId="AbstractTitle" w:customStyle="1">
    <w:name w:val="Abstract Title"/>
    <w:basedOn w:val="Normal"/>
    <w:next w:val="Abstract"/>
    <w:qFormat/>
    <w:pPr>
      <w:keepNext w:val="true"/>
      <w:keepLines/>
      <w:spacing w:before="300" w:after="0"/>
      <w:jc w:val="center"/>
    </w:pPr>
    <w:rPr>
      <w:b/>
      <w:sz w:val="20"/>
      <w:szCs w:val="20"/>
    </w:rPr>
  </w:style>
  <w:style w:type="paragraph" w:styleId="Abstract" w:customStyle="1">
    <w:name w:val="Abstract"/>
    <w:basedOn w:val="Normal"/>
    <w:next w:val="BodyText"/>
    <w:qFormat/>
    <w:pPr>
      <w:keepNext w:val="true"/>
      <w:keepLines/>
      <w:spacing w:before="100" w:after="300"/>
    </w:pPr>
    <w:rPr>
      <w:sz w:val="20"/>
      <w:szCs w:val="20"/>
    </w:rPr>
  </w:style>
  <w:style w:type="paragraph" w:styleId="Bibliography">
    <w:name w:val="Bibliography"/>
    <w:basedOn w:val="Normal"/>
    <w:qFormat/>
    <w:pPr/>
    <w:rPr/>
  </w:style>
  <w:style w:type="paragraph" w:styleId="BlockText">
    <w:name w:val="Block Text"/>
    <w:basedOn w:val="BodyText"/>
    <w:next w:val="BodyText"/>
    <w:uiPriority w:val="9"/>
    <w:unhideWhenUsed/>
    <w:qFormat/>
    <w:pPr>
      <w:spacing w:before="100" w:after="100"/>
      <w:ind w:hanging="0" w:left="480" w:right="480"/>
    </w:pPr>
    <w:rPr/>
  </w:style>
  <w:style w:type="paragraph" w:styleId="FootnoteText">
    <w:name w:val="footnote text"/>
    <w:basedOn w:val="Normal"/>
    <w:uiPriority w:val="9"/>
    <w:unhideWhenUsed/>
    <w:qFormat/>
    <w:pPr/>
    <w:rPr/>
  </w:style>
  <w:style w:type="paragraph" w:styleId="FootnoteBlockText">
    <w:name w:val="Footnote Block Text"/>
    <w:basedOn w:val="FootnoteText"/>
    <w:next w:val="FootnoteText"/>
    <w:uiPriority w:val="9"/>
    <w:unhideWhenUsed/>
    <w:qFormat/>
    <w:pPr>
      <w:spacing w:before="100" w:after="100"/>
      <w:ind w:hanging="0" w:left="480" w:right="480"/>
    </w:pPr>
    <w:rPr/>
  </w:style>
  <w:style w:type="paragraph" w:styleId="DefinitionTerm" w:customStyle="1">
    <w:name w:val="Definition Term"/>
    <w:basedOn w:val="Normal"/>
    <w:next w:val="Definition"/>
    <w:qFormat/>
    <w:pPr>
      <w:keepNext w:val="true"/>
      <w:keepLines/>
      <w:spacing w:before="0" w:after="0"/>
    </w:pPr>
    <w:rPr>
      <w:b/>
    </w:rPr>
  </w:style>
  <w:style w:type="paragraph" w:styleId="Definition" w:customStyle="1">
    <w:name w:val="Definition"/>
    <w:basedOn w:val="Normal"/>
    <w:qFormat/>
    <w:pPr/>
    <w:rPr/>
  </w:style>
  <w:style w:type="paragraph" w:styleId="TableCaption" w:customStyle="1">
    <w:name w:val="Table Caption"/>
    <w:basedOn w:val="Caption"/>
    <w:qFormat/>
    <w:pPr>
      <w:keepNext w:val="true"/>
    </w:pPr>
    <w:rPr/>
  </w:style>
  <w:style w:type="paragraph" w:styleId="ImageCaption" w:customStyle="1">
    <w:name w:val="Image Caption"/>
    <w:basedOn w:val="Caption"/>
    <w:qFormat/>
    <w:pPr/>
    <w:rPr/>
  </w:style>
  <w:style w:type="paragraph" w:styleId="Schaubild" w:customStyle="1">
    <w:name w:val="Schaubild"/>
    <w:basedOn w:val="Normal"/>
    <w:qFormat/>
    <w:pPr/>
    <w:rPr/>
  </w:style>
  <w:style w:type="paragraph" w:styleId="CaptionedFigure" w:customStyle="1">
    <w:name w:val="Captioned Figure"/>
    <w:basedOn w:val="Schaubild"/>
    <w:qFormat/>
    <w:pPr>
      <w:keepNext w:val="true"/>
    </w:pPr>
    <w:rPr/>
  </w:style>
  <w:style w:type="paragraph" w:styleId="IndexHeading">
    <w:name w:val="index heading"/>
    <w:basedOn w:val="berschrift"/>
    <w:pPr/>
    <w:rPr/>
  </w:style>
  <w:style w:type="paragraph" w:styleId="TOCHeading">
    <w:name w:val="TOC Heading"/>
    <w:basedOn w:val="Heading1"/>
    <w:next w:val="BodyText"/>
    <w:uiPriority w:val="39"/>
    <w:unhideWhenUsed/>
    <w:qFormat/>
    <w:pPr>
      <w:spacing w:lineRule="auto" w:line="259" w:before="240" w:after="80"/>
      <w:outlineLvl w:val="9"/>
    </w:pPr>
    <w:rPr>
      <w:rFonts w:ascii="Aptos Display" w:hAnsi="Aptos Display" w:eastAsia="" w:cs="" w:asciiTheme="majorHAnsi" w:cstheme="majorBidi" w:eastAsiaTheme="majorEastAsia" w:hAnsiTheme="majorHAnsi"/>
      <w:b w:val="false"/>
      <w:bCs w:val="false"/>
      <w:color w:themeColor="accent1" w:themeShade="bf" w:val="365F91"/>
    </w:rPr>
  </w:style>
  <w:style w:type="paragraph" w:styleId="SourceCode" w:customStyle="1">
    <w:name w:val="Source Code"/>
    <w:basedOn w:val="Normal"/>
    <w:link w:val="VerbatimChar"/>
    <w:qFormat/>
    <w:pPr/>
    <w:rPr/>
  </w:style>
  <w:style w:type="paragraph" w:styleId="Tabelleninhalt">
    <w:name w:val="Tabelleninhalt"/>
    <w:basedOn w:val="Normal"/>
    <w:qFormat/>
    <w:pPr>
      <w:widowControl w:val="false"/>
      <w:suppressLineNumbers/>
    </w:pPr>
    <w:rPr/>
  </w:style>
  <w:style w:type="paragraph" w:styleId="Tabellenberschrift">
    <w:name w:val="Tabellenüberschrift"/>
    <w:basedOn w:val="Tabelleninhalt"/>
    <w:qFormat/>
    <w:pPr>
      <w:suppressLineNumbers/>
      <w:jc w:val="center"/>
    </w:pPr>
    <w:rPr>
      <w:b/>
      <w:bCs/>
    </w:rPr>
  </w:style>
  <w:style w:type="table" w:default="1" w:styleId="Table">
    <w:name w:val="Table"/>
    <w:basedOn w:val="TableNormal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/>
        </w:tcBorders>
        <w:vAlign w:val="bottom"/>
      </w:tcPr>
    </w:tblStyle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 pitchFamily="0" charset="1"/>
        <a:ea typeface=""/>
        <a:cs typeface=""/>
      </a:majorFont>
      <a:minorFont>
        <a:latin typeface="Aptos" panose="0211000402020202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Application>LibreOffice/25.8.4.2$Linux_X86_64 LibreOffice_project/580$Build-2</Application>
  <AppVersion>15.0000</AppVersion>
  <Pages>1</Pages>
  <Words>212</Words>
  <Characters>1013</Characters>
  <CharactersWithSpaces>1207</CharactersWithSpaces>
  <Paragraphs>91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2026-01-30T08:43:57Z</dcterms:created>
  <dc:creator/>
  <dc:description/>
  <dc:language>de-DE</dc:language>
  <cp:lastModifiedBy/>
  <dcterms:modified xsi:type="dcterms:W3CDTF">2026-01-30T10:21:26Z</dcterms:modified>
  <cp:revision>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