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<w:tblPr>
        <w:tblCellMar>
          <w:top w:w="0" w:type="dxa"/>
          <w:bottom w:w="0" w:type="dxa"/>
          <w:start w:w="60" w:type="dxa"/>
          <w:end w:w="60" w:type="dxa"/>
        </w:tblCellMar>
        <w:tblW w:type="auto" w:w="0"/>
        <w:tblLook w:firstRow="0" w:lastRow="0" w:firstColumn="0" w:lastColumn="0" w:noHBand="0" w:noVBand="0"/>
        <w:jc w:val="center"/>
      </w:tblPr>
      <w:tr>
        <w:trPr>
          <w:cantSplit/>
          <w:tblHeader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b w:val="true"/>
                <w:rFonts w:ascii="Calibri" w:hAnsi="Calibri"/>
                <w:sz w:val="20"/>
              </w:rPr>
              <w:t xml:space="preserve">Secondary endpoint</w:t>
            </w:r>
          </w:p>
        </w:tc>
        <w:tc>
          <w:tcPr>
            <w:tcBorders>
              <w:top w:val="single" w:sz="16" w:space="0" w:color="D3D3D3"/>
              <w:bottom w:val="single" w:sz="16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b w:val="true"/>
                <w:rFonts w:ascii="Calibri" w:hAnsi="Calibri"/>
                <w:sz w:val="20"/>
              </w:rPr>
              <w:t xml:space="preserve">Scale</w:t>
            </w:r>
          </w:p>
        </w:tc>
        <w:tc>
          <w:tcPr>
            <w:tcBorders>
              <w:top w:val="single" w:sz="16" w:space="0" w:color="D3D3D3"/>
              <w:bottom w:val="single" w:sz="16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b w:val="true"/>
                <w:rFonts w:ascii="Calibri" w:hAnsi="Calibri"/>
                <w:sz w:val="20"/>
              </w:rPr>
              <w:t xml:space="preserve">Meaningful risk-factor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3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  <w:b w:val="true"/>
              </w:rPr>
              <w:t xml:space="default">Module 1 (Motivation)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Corrections Victoria Treatment Readiness Questionnaire (CVTRQ)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Total score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Treatment readiness</w:t>
            </w:r>
            <w:r>
              <w:rPr>
                <w:vertAlign w:val="superscript"/>
                <w:i/>
                <w:rFonts w:ascii="Calibri" w:hAnsi="Calibri"/>
                <w:sz w:val="20"/>
              </w:rPr>
              <w:t xml:space="default">1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Readiness to Change Questionnaire (RCQ)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Total score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Motivation to change</w:t>
            </w:r>
            <w:r>
              <w:rPr>
                <w:vertAlign w:val="superscript"/>
                <w:i/>
                <w:rFonts w:ascii="Calibri" w:hAnsi="Calibri"/>
                <w:sz w:val="20"/>
              </w:rPr>
              <w:t xml:space="default">2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3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  <w:b w:val="true"/>
              </w:rPr>
              <w:t xml:space="default">Module 2 (Supervision and Social Relationships)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Social Support Questionnaire (F-Soz-U)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Total score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Negative social influences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Optimized Questionnaire for the Measurement of Psychological Reactance (OQMPR)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Total score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Resistance to rules and supervision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University of California Los Angeles Loneliness Scale (UCLA)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Total score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Emotionally intimate relationships with adults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3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  <w:b w:val="true"/>
              </w:rPr>
              <w:t xml:space="default">Module 3 (Emotion Management)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Barratt Impulsiveness Scale-15 (BIS-15)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Total score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(lifestyle) Impulsiveness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Coping Using Sex Inventory (CUSI)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Total score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Sexualized coping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Difficulties in Emotion Regulation Scale (DERS)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Subscale Impulsivity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Impulse control difficulties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Negative Affect Repair Questionnaire (NARQ)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Subscale Externalized Coping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External Coping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3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  <w:b w:val="true"/>
              </w:rPr>
              <w:t xml:space="default">Module 4 (Problem Solving)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Social Problem-Solving Inventory Revised (SPSI-R)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Total score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Poor problem solving skills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3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  <w:b w:val="true"/>
              </w:rPr>
              <w:t xml:space="default">Module 5 (Offense-Supportive Attitudes)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Bumby Molest Scale (BMS)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Total score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Offense-supportive attitudes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3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  <w:b w:val="true"/>
              </w:rPr>
              <w:t xml:space="default">Module 6 (Sexuality Module)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The Explicit Sexual Interest Questionnaire (ESIQ)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Total score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Sexual interest in children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Sexual Outlet Inventory - Revised (SOI-R)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Total score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Sexual interest in children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Specific self-efficacy for modifying Sexual Interest in Children (SSIC)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Total score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Self-Efficacy for Modifying Sexual Interest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Questionnaire on Emotional Congruence with Children-Revised (EKK-R)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Total score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Emotional congruence with children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Hyper-sexualBehavior Inventory-19 (HBI-19)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Total score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preserve">Sexual preoccupation</w:t>
            </w:r>
          </w:p>
        </w:tc>
      </w:tr>
      <w:tr>
        <w:trPr>
          <w:cantSplit/>
        </w:trPr>
        <w:tc>
          <w:tcPr>
            <w:gridSpan w:val="3"/>
          </w:tcPr>
          <w:p>
            <w:pPr>
              <w:spacing w:before="0" w:after="60"/>
              <w:keepNext/>
              <w:jc w:val="start"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1</w:t>
            </w:r>
            <w:r>
              <w:rPr>
                <w:rFonts w:ascii="Calibri" w:hAnsi="Calibri"/>
                <w:sz w:val="20"/>
              </w:rPr>
              <w:t xml:space="default">Treatment readiness is not defined as a risk-factor in Seto et al. (2023) or Mann et al. (2010). Nevertheless, Treatment dropout is correleated with recidivism.</w:t>
            </w:r>
          </w:p>
        </w:tc>
      </w:tr>
      <w:tr>
        <w:trPr>
          <w:cantSplit/>
        </w:trPr>
        <w:tc>
          <w:tcPr>
            <w:gridSpan w:val="3"/>
          </w:tcPr>
          <w:p>
            <w:pPr>
              <w:spacing w:before="0" w:after="60"/>
              <w:keepNext/>
              <w:jc w:val="start"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2</w:t>
            </w:r>
            <w:r>
              <w:rPr>
                <w:rFonts w:ascii="Calibri" w:hAnsi="Calibri"/>
                <w:sz w:val="20"/>
              </w:rPr>
              <w:t xml:space="default">Motivation to change is not defined as a risk-factor in Seto et al. (2023) or Mann et al. (2010). Nevertheless, Treatment dropout is correleated with recidivism.</w:t>
            </w:r>
          </w:p>
        </w:tc>
      </w:tr>
    </w:tbl>
    <w:p>
      <w:pPr>
        <w:pStyle w:val="FirstParagraph"/>
      </w:pPr>
    </w:p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2026-01-30T08:43:34Z</dcterms:created>
  <dcterms:modified xsi:type="dcterms:W3CDTF">2026-01-30T08:43:34Z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