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/>
      </w:pPr>
      <w:r>
        <w:rPr>
          <w:b/>
          <w:bCs/>
        </w:rPr>
        <w:t>Table 1</w:t>
      </w:r>
      <w:r>
        <w:rPr/>
        <w:t xml:space="preserve">. </w:t>
      </w:r>
      <w:r>
        <w:rPr/>
        <w:t>Content of the trial arms.</w:t>
      </w:r>
    </w:p>
    <w:tbl>
      <w:tblPr>
        <w:tblW w:w="9071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noHBand="0" w:noVBand="1" w:firstColumn="0" w:lastRow="0" w:lastColumn="0" w:firstRow="1"/>
      </w:tblPr>
      <w:tblGrid>
        <w:gridCol w:w="1813"/>
        <w:gridCol w:w="3629"/>
        <w:gridCol w:w="3629"/>
      </w:tblGrid>
      <w:tr>
        <w:trPr>
          <w:tblHeader w:val="true"/>
          <w:trHeight w:val="405" w:hRule="atLeast"/>
        </w:trPr>
        <w:tc>
          <w:tcPr>
            <w:tcW w:w="1813" w:type="dxa"/>
            <w:tcBorders>
              <w:top w:val="single" w:sz="12" w:space="0" w:color="666666"/>
              <w:bottom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Module</w:t>
            </w:r>
          </w:p>
        </w:tc>
        <w:tc>
          <w:tcPr>
            <w:tcW w:w="3629" w:type="dxa"/>
            <w:tcBorders>
              <w:top w:val="single" w:sz="12" w:space="0" w:color="666666"/>
              <w:bottom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Intervention</w:t>
            </w:r>
          </w:p>
        </w:tc>
        <w:tc>
          <w:tcPr>
            <w:tcW w:w="3629" w:type="dxa"/>
            <w:tcBorders>
              <w:top w:val="single" w:sz="12" w:space="0" w:color="666666"/>
              <w:bottom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Placebo</w:t>
            </w:r>
          </w:p>
        </w:tc>
      </w:tr>
      <w:tr>
        <w:trPr>
          <w:trHeight w:val="1054" w:hRule="atLeast"/>
        </w:trPr>
        <w:tc>
          <w:tcPr>
            <w:tcW w:w="1813" w:type="dxa"/>
            <w:tcBorders>
              <w:top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Module 1</w:t>
            </w:r>
          </w:p>
        </w:tc>
        <w:tc>
          <w:tcPr>
            <w:tcW w:w="3629" w:type="dxa"/>
            <w:tcBorders>
              <w:top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Motivation: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Exercises on identifying personal values and future aspirations in order to enhance treatment readiness and reduce resistance to change.</w:t>
              <w:br/>
              <w:t>- Psycho-education on improving decision-making by weighting long-term consequences over immediate rewards.</w:t>
              <w:br/>
              <w:t>- Based on structured goal-setting techniques, participants transform abstract desires into specific, measurable, and achievable objectives, increasing self-efficacy and clarity about their own needs and personal values in order to enhane treatment readiness.</w:t>
            </w:r>
          </w:p>
        </w:tc>
        <w:tc>
          <w:tcPr>
            <w:tcW w:w="3629" w:type="dxa"/>
            <w:tcBorders>
              <w:top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Physical activity: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Psycho-educational content promotes the benefits of physical activity, identifies personal barriers, and set achievable goals to build motivation for physical activity.</w:t>
              <w:br/>
              <w:t>- The importance of motor skills, coordination, and balance, enhancing physical confidence and improving participation in daily and therapeutic activities is highlighted.</w:t>
              <w:br/>
              <w:t>- Through guided exercises, participants are introduced to break sedentary patterns, to increase awareness of health risks and motivated for a sustainable, active living.</w:t>
            </w:r>
          </w:p>
        </w:tc>
      </w:tr>
      <w:tr>
        <w:trPr>
          <w:trHeight w:val="1054" w:hRule="atLeast"/>
        </w:trPr>
        <w:tc>
          <w:tcPr>
            <w:tcW w:w="1813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Module 2</w:t>
            </w:r>
          </w:p>
        </w:tc>
        <w:tc>
          <w:tcPr>
            <w:tcW w:w="3629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Supervision and social relationships: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Development of skills to build trust and collaborative working relationships with supervision officers, reducing resistance against community supervision and improving adherence to supervision mandates.</w:t>
              <w:br/>
              <w:t>- Identification of avoidance patterns that interfere with engagement in community supervision, using cognitive-behavioral strategies to enhance compliance with structured interventions.</w:t>
              <w:br/>
              <w:t>- Through guided exercises, participants examine the impact of adult relationships on emotional regulation and behavioral stability, targeting deficits in capacity for adult intimacy.</w:t>
            </w:r>
          </w:p>
        </w:tc>
        <w:tc>
          <w:tcPr>
            <w:tcW w:w="3629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Sports: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Psycho-education provides the basics of muscle structure and function, increasing self-awareness of physical capabilities and enhancing motivation to engage in structured physical routines.</w:t>
              <w:br/>
              <w:t>- in guided exercises, intrinsic and extrinsic motivators are identified as well as barriers like low confidence or time constraints that affect adherence on personal training plans.</w:t>
              <w:br/>
              <w:t>- By reflecting on personal sport preferences in exercises, participants recognize how peer or cultural influences may shape physical activity choices, reducing susceptibility to negative social pressures.</w:t>
            </w:r>
          </w:p>
        </w:tc>
      </w:tr>
      <w:tr>
        <w:trPr>
          <w:trHeight w:val="1255" w:hRule="atLeast"/>
        </w:trPr>
        <w:tc>
          <w:tcPr>
            <w:tcW w:w="1813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Module 3</w:t>
            </w:r>
          </w:p>
        </w:tc>
        <w:tc>
          <w:tcPr>
            <w:tcW w:w="3629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Emotion management: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Identification of emotions as indicators of unmet personal needs, reducing impulsive reactions by linking affective states to underlying psychological demands.</w:t>
              <w:br/>
              <w:t>- Through mindfulness exercises and case examples, participants learn the importance of non-reactive awareness of emotions and connected bodily sensations, improving impulse control and reducing maladaptive coping.</w:t>
              <w:br/>
              <w:t>- Differentiation of emotional experiences and action urges using tools like the tension scale, fostering pause-and-reflect strategies to interrupt impulsive behaviors.</w:t>
              <w:br/>
              <w:t>- Creation of a personalized skill set, with adaptive, individualized responses to emotional distress, enhancing long-term emotional regulation and self-management.</w:t>
            </w:r>
          </w:p>
        </w:tc>
        <w:tc>
          <w:tcPr>
            <w:tcW w:w="3629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Healthy sleep: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Psycho-education promotes that sleep quality directly influences emotional regulation, cognitive function, and physical health, addressing impulsivity and emotional dysregulation that undermine sleep hygiene.</w:t>
              <w:br/>
              <w:t>- Understanding sleep cycles and physiological restoration helps link poor sleep to heightened stress, supporting those with external or sexualized coping patterns in developing healthier responses.</w:t>
              <w:br/>
              <w:t>- Practical, non-drug strategies are taught in exercises to manage shift work and jetlag, promoting consistent routines and environmental adjustments that support long-term sleep stability.</w:t>
            </w:r>
          </w:p>
        </w:tc>
      </w:tr>
      <w:tr>
        <w:trPr>
          <w:trHeight w:val="1254" w:hRule="atLeast"/>
        </w:trPr>
        <w:tc>
          <w:tcPr>
            <w:tcW w:w="1813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Module 4</w:t>
            </w:r>
          </w:p>
        </w:tc>
        <w:tc>
          <w:tcPr>
            <w:tcW w:w="3629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Problem solving: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Psycho-education on problem-solving deficits as a core component of self-regulation difficulties, understanding that challenges are manageable through structured, cognitive-behavioral approaches.</w:t>
              <w:br/>
              <w:t>- Guided exercises following the 7-Step Problem-Solving Plan to systematically identify, define, and address problems, enhancing decision-making and reducing impulsive or avoidant reactions.</w:t>
              <w:br/>
              <w:t>- Through video examples and case studies, participants practice distinguishing between changeable and unchangeable issues, generating realistic solutions, and evaluating outcomes.</w:t>
            </w:r>
          </w:p>
        </w:tc>
        <w:tc>
          <w:tcPr>
            <w:tcW w:w="3629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Dreaming: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Psycho-educational content focus on the neuroscience of dreaming, including REM and non-REM sleep stages.</w:t>
              <w:br/>
              <w:t>- Through exercises like dream journaling, and symbolic interpretation, participants develop reflective practices that enhance awareness of dreams.</w:t>
              <w:br/>
              <w:t>- The module links stress, sleep disruption, and dream content, illustrating how chronic stress undermines executive function and exacerbates difficulties in structured thinking and solution generation.</w:t>
              <w:br/>
              <w:t>- Case studies highlight trauma-related dream patterns, showing how unresolved psychological distress and poor sleep hinder insight and cognitive restoration.</w:t>
            </w:r>
          </w:p>
        </w:tc>
      </w:tr>
      <w:tr>
        <w:trPr>
          <w:trHeight w:val="1256" w:hRule="atLeast"/>
        </w:trPr>
        <w:tc>
          <w:tcPr>
            <w:tcW w:w="1813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Module 5</w:t>
            </w:r>
          </w:p>
        </w:tc>
        <w:tc>
          <w:tcPr>
            <w:tcW w:w="3629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Offense-supportive attitudes: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Need-principle: Identification of three offense-supportive cognitions; the participant must choose three out of 16 pre-defined offense-supportive cognitions.</w:t>
              <w:br/>
              <w:t>- Psycho-education on how offense-supportive cognitions arise from selective attention to partial truths, reinforcing denial and minimizing consequences through psychological defense mechanisms.</w:t>
              <w:br/>
              <w:t>- Through cognitive restructuring, participants challenge offense-supportive cognitions and promoting critical evaluation of harmful thought patterns in guided exercises.</w:t>
              <w:br/>
              <w:t>- Case studies and video examples illustrate real-world consequences of offense-supportive cognitions, bridging the gap between perceived justification and actual harm.</w:t>
            </w:r>
          </w:p>
        </w:tc>
        <w:tc>
          <w:tcPr>
            <w:tcW w:w="3629" w:type="dxa"/>
            <w:tcBorders/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Nutrition: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Adaptive: Psycho-education provides foundational knowledge on nutrition, digestion; the participant mus choose three out of six nutrition styles.</w:t>
              <w:br/>
              <w:t>- Through guided exercises, participants explore ethical, health, and environmental motivations for three out of 6 different nutrition types (e.g. plant-based diets, fostering empathy and prosocial decision-making).</w:t>
              <w:br/>
              <w:t>- Practical skills in meal planning and grocery shopping build confidence and sustainability, empowering lasting dietary changes that enhance psychological health and reduce behavioral risk.</w:t>
            </w:r>
          </w:p>
        </w:tc>
      </w:tr>
      <w:tr>
        <w:trPr>
          <w:trHeight w:val="1255" w:hRule="atLeast"/>
        </w:trPr>
        <w:tc>
          <w:tcPr>
            <w:tcW w:w="1813" w:type="dxa"/>
            <w:tcBorders>
              <w:bottom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  <w:b/>
                <w:bCs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Module 6</w:t>
            </w:r>
          </w:p>
        </w:tc>
        <w:tc>
          <w:tcPr>
            <w:tcW w:w="3629" w:type="dxa"/>
            <w:tcBorders>
              <w:bottom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Sexuality: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Psycho-education focus on the differentiation between healthy and problematic sexual interests and on how sexual preoccupation can increase reoffending risk.</w:t>
              <w:br/>
              <w:t>- The module addresses emotional congruence with children as a potential risk-factor, emphasizing the importance of maintaining emotional and physical boundaries between oneself and children to reduce relapse potential (relapse prevention).</w:t>
              <w:br/>
              <w:t>- Cognitive restructuring techniques are used to challenge offense-supportive cognitions about sexual behavior, fostering insight and promoting adaptive, non-harmful thought patterns.</w:t>
              <w:br/>
              <w:t>- Through identification of high-risk triggers and personalized coping strategies, the self-regulation, self-efficacy, and control over problematic sexual urges and fantasies will be focused.</w:t>
            </w:r>
          </w:p>
        </w:tc>
        <w:tc>
          <w:tcPr>
            <w:tcW w:w="3629" w:type="dxa"/>
            <w:tcBorders>
              <w:bottom w:val="single" w:sz="12" w:space="0" w:color="666666"/>
            </w:tcBorders>
            <w:shd w:color="auto" w:fill="FFFFFF" w:val="clear"/>
            <w:vAlign w:val="center"/>
          </w:tcPr>
          <w:p>
            <w:pPr>
              <w:pStyle w:val="Normal"/>
              <w:pBdr/>
              <w:spacing w:lineRule="auto" w:line="240" w:before="40" w:after="40"/>
              <w:ind w:hanging="0" w:start="80" w:end="80"/>
              <w:jc w:val="start"/>
              <w:rPr>
                <w:rFonts w:ascii="Times New Roman" w:hAnsi="Times New Roman"/>
              </w:rPr>
            </w:pPr>
            <w:r>
              <w:rPr>
                <w:rFonts w:eastAsia="DejaVu Sans" w:cs="DejaVu Sans" w:ascii="Times New Roman" w:hAnsi="Times New Roman"/>
                <w:b/>
                <w:bCs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t>Well-being:</w:t>
            </w:r>
            <w:r>
              <w:rPr>
                <w:rFonts w:eastAsia="DejaVu Sans" w:cs="DejaVu Sans" w:ascii="Times New Roman" w:hAnsi="Times New Roman"/>
                <w:b w:val="false"/>
                <w:i w:val="false"/>
                <w:strike w:val="false"/>
                <w:dstrike w:val="false"/>
                <w:color w:val="000000"/>
                <w:sz w:val="20"/>
                <w:szCs w:val="20"/>
                <w:u w:val="none"/>
              </w:rPr>
              <w:br/>
              <w:t>- Psychological well-being is distinguished from happiness, focusing on meaning, inner balance, and personal growth, explored through reflections on identity, nature, music, and laughter.</w:t>
              <w:br/>
              <w:t>- Participants challenge the myth of universal well-being, recognizing its subjective nature and the importance of personal values, identity, and life context in shaping health and satisfaction.</w:t>
              <w:br/>
              <w:t>- Through exercises, participants explore the gut-brain axis, mindful eating, and hygiene practices, linking nutrition, self-care, and bodily awareness to mental clarity and psychological stability.</w:t>
            </w:r>
          </w:p>
        </w:tc>
      </w:tr>
    </w:tbl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ucida Grande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0"/>
        </w:tabs>
        <w:ind w:start="792" w:hanging="432"/>
      </w:pPr>
      <w:rPr/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224" w:hanging="504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star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362e65"/>
    <w:pPr>
      <w:keepNext w:val="true"/>
      <w:keepLines/>
      <w:numPr>
        <w:ilvl w:val="0"/>
        <w:numId w:val="1"/>
      </w:numPr>
      <w:pBdr>
        <w:bottom w:val="single" w:sz="4" w:space="1" w:color="000000"/>
      </w:pBdr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sz w:val="32"/>
      <w:szCs w:val="32"/>
    </w:rPr>
  </w:style>
  <w:style w:type="paragraph" w:styleId="Heading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sz w:val="26"/>
      <w:szCs w:val="26"/>
    </w:rPr>
  </w:style>
  <w:style w:type="paragraph" w:styleId="Heading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 w:customStyle="1">
    <w:name w:val="strong"/>
    <w:basedOn w:val="DefaultParagraphFont"/>
    <w:uiPriority w:val="1"/>
    <w:qFormat/>
    <w:rsid w:val="007b3e96"/>
    <w:rPr>
      <w:b/>
    </w:rPr>
  </w:style>
  <w:style w:type="character" w:styleId="Titre1Car" w:customStyle="1">
    <w:name w:val="Titre 1 Car"/>
    <w:basedOn w:val="DefaultParagraphFont"/>
    <w:uiPriority w:val="9"/>
    <w:qFormat/>
    <w:rsid w:val="00362e65"/>
    <w:rPr>
      <w:rFonts w:ascii="Calibri" w:hAnsi="Calibri" w:eastAsia="" w:cs="" w:asciiTheme="majorHAnsi" w:cstheme="majorBidi" w:eastAsiaTheme="majorEastAsia" w:hAnsiTheme="majorHAnsi"/>
      <w:b/>
      <w:bCs/>
      <w:sz w:val="32"/>
      <w:szCs w:val="32"/>
    </w:rPr>
  </w:style>
  <w:style w:type="character" w:styleId="Titre2Car" w:customStyle="1">
    <w:name w:val="Titre 2 Car"/>
    <w:basedOn w:val="DefaultParagraphFont"/>
    <w:uiPriority w:val="9"/>
    <w:semiHidden/>
    <w:qFormat/>
    <w:rsid w:val="00362e65"/>
    <w:rPr>
      <w:rFonts w:ascii="Calibri" w:hAnsi="Calibri" w:eastAsia="" w:cs="" w:asciiTheme="majorHAnsi" w:cstheme="majorBidi" w:eastAsiaTheme="majorEastAsia" w:hAnsiTheme="majorHAnsi"/>
      <w:b/>
      <w:bCs/>
      <w:sz w:val="26"/>
      <w:szCs w:val="26"/>
    </w:rPr>
  </w:style>
  <w:style w:type="character" w:styleId="Titre3Car" w:customStyle="1">
    <w:name w:val="Titre 3 Car"/>
    <w:basedOn w:val="DefaultParagraphFont"/>
    <w:uiPriority w:val="9"/>
    <w:semiHidden/>
    <w:qFormat/>
    <w:rsid w:val="00362e65"/>
    <w:rPr>
      <w:rFonts w:ascii="Calibri" w:hAnsi="Calibri" w:eastAsia="" w:cs="" w:asciiTheme="majorHAnsi" w:cstheme="majorBidi" w:eastAsiaTheme="majorEastAsia" w:hAnsiTheme="majorHAnsi"/>
      <w:b/>
      <w:bCs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fb63e7"/>
    <w:rPr>
      <w:rFonts w:ascii="Lucida Grande" w:hAnsi="Lucida Grande"/>
      <w:sz w:val="18"/>
      <w:szCs w:val="18"/>
    </w:rPr>
  </w:style>
  <w:style w:type="character" w:styleId="referenceid" w:customStyle="1">
    <w:name w:val="reference_id"/>
    <w:basedOn w:val="DefaultParagraphFont"/>
    <w:uiPriority w:val="1"/>
    <w:qFormat/>
    <w:rsid w:val="00457cf1"/>
    <w:rPr>
      <w:vertAlign w:val="superscript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centered" w:customStyle="1">
    <w:name w:val="centered"/>
    <w:basedOn w:val="Normal"/>
    <w:qFormat/>
    <w:rsid w:val="001d75ab"/>
    <w:pPr>
      <w:jc w:val="center"/>
    </w:pPr>
    <w:rPr/>
  </w:style>
  <w:style w:type="paragraph" w:styleId="ImageCaption" w:customStyle="1">
    <w:name w:val="Image Caption"/>
    <w:basedOn w:val="Normal"/>
    <w:qFormat/>
    <w:rsid w:val="00ae18ef"/>
    <w:pPr>
      <w:jc w:val="center"/>
    </w:pPr>
    <w:rPr>
      <w:b/>
      <w:i/>
    </w:rPr>
  </w:style>
  <w:style w:type="paragraph" w:styleId="TableCaption" w:customStyle="1">
    <w:name w:val="Table Caption"/>
    <w:basedOn w:val="ImageCaption"/>
    <w:qFormat/>
    <w:rsid w:val="00ae18ef"/>
    <w:pPr/>
    <w:rPr/>
  </w:style>
  <w:style w:type="paragraph" w:styleId="TOC1">
    <w:name w:val="toc 1"/>
    <w:basedOn w:val="Normal"/>
    <w:next w:val="Normal"/>
    <w:autoRedefine/>
    <w:uiPriority w:val="39"/>
    <w:unhideWhenUsed/>
    <w:rsid w:val="00fb63e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fb63e7"/>
    <w:pPr>
      <w:spacing w:before="0" w:after="100"/>
      <w:ind w:start="24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fb63e7"/>
    <w:pPr/>
    <w:rPr>
      <w:rFonts w:ascii="Lucida Grande" w:hAnsi="Lucida Grande"/>
      <w:sz w:val="18"/>
      <w:szCs w:val="18"/>
    </w:rPr>
  </w:style>
  <w:style w:type="paragraph" w:styleId="graphictitle" w:customStyle="1">
    <w:name w:val="graphic title"/>
    <w:basedOn w:val="ImageCaption"/>
    <w:next w:val="Normal"/>
    <w:qFormat/>
    <w:rsid w:val="0035500d"/>
    <w:pPr/>
    <w:rPr/>
  </w:style>
  <w:style w:type="paragraph" w:styleId="tabletitle" w:customStyle="1">
    <w:name w:val="table title"/>
    <w:basedOn w:val="TableCaption"/>
    <w:next w:val="Normal"/>
    <w:qFormat/>
    <w:rsid w:val="00901463"/>
    <w:pPr/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tblBorders>
        <w:top w:val="single" w:color="auto" w:sz="8" w:space="0"/>
        <w:bottom w:val="single" w:color="auto" w:sz="8" w:space="0"/>
        <w:insideH w:val="single" w:color="auto" w:sz="8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shd w:val="solid" w:color="000000" w:fill="FFFFF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Bureau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LibreOffice/25.8.4.2$Linux_X86_64 LibreOffice_project/580$Build-2</Application>
  <AppVersion>15.0000</AppVersion>
  <Pages>3</Pages>
  <Words>955</Words>
  <Characters>6651</Characters>
  <CharactersWithSpaces>7584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/>
  <dc:description/>
  <dc:language>de-DE</dc:language>
  <cp:lastModifiedBy/>
  <dcterms:modified xsi:type="dcterms:W3CDTF">2026-01-30T10:13:20Z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